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812C0A" w14:textId="1CBC2CD0" w:rsidR="006734DA" w:rsidRPr="006D7DCA" w:rsidRDefault="006734DA" w:rsidP="00C653CB">
      <w:pPr>
        <w:spacing w:before="240" w:line="360" w:lineRule="auto"/>
        <w:jc w:val="center"/>
        <w:rPr>
          <w:rFonts w:ascii="Times New Roman" w:hAnsi="Times New Roman" w:cs="Times New Roman"/>
          <w:b/>
          <w:bCs/>
          <w:sz w:val="22"/>
          <w:szCs w:val="22"/>
        </w:rPr>
      </w:pPr>
      <w:r w:rsidRPr="006D7DCA">
        <w:rPr>
          <w:rFonts w:ascii="Times New Roman" w:hAnsi="Times New Roman" w:cs="Times New Roman"/>
          <w:b/>
          <w:bCs/>
          <w:sz w:val="22"/>
          <w:szCs w:val="22"/>
        </w:rPr>
        <w:t>TÍTULO</w:t>
      </w:r>
    </w:p>
    <w:p w14:paraId="7D2D5D2E" w14:textId="13C368C9" w:rsidR="00C63008" w:rsidRPr="006D7DCA" w:rsidRDefault="00FD355A" w:rsidP="002C61DC">
      <w:pPr>
        <w:spacing w:before="240" w:line="360" w:lineRule="auto"/>
        <w:jc w:val="center"/>
        <w:rPr>
          <w:rFonts w:ascii="Times New Roman" w:hAnsi="Times New Roman" w:cs="Times New Roman"/>
          <w:b/>
          <w:bCs/>
          <w:sz w:val="22"/>
          <w:szCs w:val="22"/>
        </w:rPr>
      </w:pPr>
      <w:r w:rsidRPr="006D7DCA">
        <w:rPr>
          <w:rFonts w:ascii="Times New Roman" w:hAnsi="Times New Roman" w:cs="Times New Roman"/>
          <w:b/>
          <w:bCs/>
          <w:sz w:val="22"/>
          <w:szCs w:val="22"/>
        </w:rPr>
        <w:t>Estrés, ansiedad y depresión en estudiantes universitarios en línea: relación con hábitos de vida, estrategias de afrontamiento y comportamiento académico</w:t>
      </w:r>
    </w:p>
    <w:p w14:paraId="15F0D71C" w14:textId="77777777" w:rsidR="009D3BE3" w:rsidRPr="006D7DCA" w:rsidRDefault="006734DA" w:rsidP="009D3BE3">
      <w:pPr>
        <w:spacing w:before="240" w:line="360" w:lineRule="auto"/>
        <w:jc w:val="center"/>
        <w:rPr>
          <w:rFonts w:ascii="Times New Roman" w:hAnsi="Times New Roman" w:cs="Times New Roman"/>
          <w:b/>
          <w:bCs/>
          <w:sz w:val="22"/>
          <w:szCs w:val="22"/>
        </w:rPr>
      </w:pPr>
      <w:r w:rsidRPr="006D7DCA">
        <w:rPr>
          <w:rFonts w:ascii="Times New Roman" w:hAnsi="Times New Roman" w:cs="Times New Roman"/>
          <w:b/>
          <w:bCs/>
          <w:sz w:val="22"/>
          <w:szCs w:val="22"/>
        </w:rPr>
        <w:t>RESUMEN</w:t>
      </w:r>
    </w:p>
    <w:p w14:paraId="1ED0C934" w14:textId="0F08B53A" w:rsidR="006734DA" w:rsidRPr="006D7DCA" w:rsidRDefault="00E62AEE" w:rsidP="000028B6">
      <w:pPr>
        <w:spacing w:before="240" w:line="360" w:lineRule="auto"/>
        <w:jc w:val="both"/>
        <w:rPr>
          <w:rFonts w:ascii="Times New Roman" w:hAnsi="Times New Roman" w:cs="Times New Roman"/>
          <w:sz w:val="22"/>
          <w:szCs w:val="22"/>
        </w:rPr>
      </w:pPr>
      <w:r w:rsidRPr="006D7DCA">
        <w:rPr>
          <w:rFonts w:ascii="Times New Roman" w:hAnsi="Times New Roman" w:cs="Times New Roman"/>
          <w:sz w:val="22"/>
          <w:szCs w:val="22"/>
        </w:rPr>
        <w:t>El estrés, la ansiedad y la depresión se asocian con la salud mental del estudiantado universitario, y la educación en línea constituye un contexto en el que estas condiciones han sido ampliamente estudiadas. El objetivo de este estudio fue analizar la relación entre estos problemas de salud mental y diversos hábitos de vida, estrategias de afrontamiento, compromiso académico y procrastinación en estudiantado universitario que cursa programas en línea. Se realizó un estudio transversal con una muestra de 2204 estudiantes universitarios con una edad media de 34.66 ± 9.15 años, procedentes de una universidad con metodología en línea, quienes completaron cuestionarios validados para evaluar los niveles de estrés, ansiedad y depresión, así como la calidad del sueño, la actividad física, la adherencia a la dieta mediterránea, el tiempo de pantalla, las estrategias de afrontamiento, el compromiso académico y el burnout. Los resultados mostraron prevalencias del 31.62% para el estrés, del 32.30% para la ansiedad y del 27.22% para la depresión. Asimismo, se identificaron asociaciones entre una peor calidad del sueño, menores niveles de actividad física, mayor tiempo de exposición a pantallas y una menor adherencia a la dieta mediterránea y mayores niveles de estrés, ansiedad y depresión. El estudiantado con sintomatología severa presentó menores niveles de compromiso académico, un menor uso de estrategias de afrontamiento adaptativas y mayores niveles de procrastinación. En conjunto, estos resultados aportan evidencia sobre la relación entre hábitos de vida, variables académicas y salud mental en el contexto de la educación universitaria en línea.</w:t>
      </w:r>
    </w:p>
    <w:p w14:paraId="2E25D33C" w14:textId="318FA30A" w:rsidR="000028B6" w:rsidRPr="006D7DCA" w:rsidRDefault="000028B6" w:rsidP="000028B6">
      <w:pPr>
        <w:spacing w:before="240" w:line="360" w:lineRule="auto"/>
        <w:jc w:val="both"/>
        <w:rPr>
          <w:rFonts w:ascii="Times New Roman" w:hAnsi="Times New Roman" w:cs="Times New Roman"/>
          <w:sz w:val="22"/>
          <w:szCs w:val="22"/>
        </w:rPr>
      </w:pPr>
      <w:r w:rsidRPr="006D7DCA">
        <w:rPr>
          <w:rFonts w:ascii="Times New Roman" w:hAnsi="Times New Roman" w:cs="Times New Roman"/>
          <w:b/>
          <w:bCs/>
          <w:sz w:val="22"/>
          <w:szCs w:val="22"/>
        </w:rPr>
        <w:t>Palabras clave:</w:t>
      </w:r>
      <w:r w:rsidRPr="006D7DCA">
        <w:rPr>
          <w:rFonts w:ascii="Times New Roman" w:hAnsi="Times New Roman" w:cs="Times New Roman"/>
          <w:sz w:val="22"/>
          <w:szCs w:val="22"/>
        </w:rPr>
        <w:t xml:space="preserve"> Ansiedad; Depresión; Educación a distancia; Estrés; Hábitos de vida; Salud mental; Bienestar.</w:t>
      </w:r>
    </w:p>
    <w:p w14:paraId="4569A589" w14:textId="77777777" w:rsidR="000028B6" w:rsidRPr="006D7DCA" w:rsidRDefault="000028B6" w:rsidP="000028B6">
      <w:pPr>
        <w:spacing w:before="240" w:line="360" w:lineRule="auto"/>
        <w:jc w:val="both"/>
        <w:rPr>
          <w:rFonts w:ascii="Times New Roman" w:hAnsi="Times New Roman" w:cs="Times New Roman"/>
          <w:sz w:val="22"/>
          <w:szCs w:val="22"/>
        </w:rPr>
      </w:pPr>
    </w:p>
    <w:p w14:paraId="01B65BA5" w14:textId="77777777" w:rsidR="000028B6" w:rsidRPr="006D7DCA" w:rsidRDefault="000028B6" w:rsidP="000028B6">
      <w:pPr>
        <w:spacing w:before="240" w:line="360" w:lineRule="auto"/>
        <w:jc w:val="both"/>
        <w:rPr>
          <w:rFonts w:ascii="Times New Roman" w:hAnsi="Times New Roman" w:cs="Times New Roman"/>
          <w:sz w:val="22"/>
          <w:szCs w:val="22"/>
        </w:rPr>
      </w:pPr>
    </w:p>
    <w:p w14:paraId="6428F313" w14:textId="77777777" w:rsidR="000028B6" w:rsidRPr="006D7DCA" w:rsidRDefault="000028B6" w:rsidP="000028B6">
      <w:pPr>
        <w:spacing w:before="240" w:line="360" w:lineRule="auto"/>
        <w:jc w:val="both"/>
        <w:rPr>
          <w:rFonts w:ascii="Times New Roman" w:hAnsi="Times New Roman" w:cs="Times New Roman"/>
          <w:sz w:val="22"/>
          <w:szCs w:val="22"/>
        </w:rPr>
      </w:pPr>
    </w:p>
    <w:p w14:paraId="747735EC" w14:textId="77777777" w:rsidR="000028B6" w:rsidRPr="006D7DCA" w:rsidRDefault="000028B6" w:rsidP="000028B6">
      <w:pPr>
        <w:spacing w:before="240" w:line="360" w:lineRule="auto"/>
        <w:jc w:val="both"/>
        <w:rPr>
          <w:rFonts w:ascii="Times New Roman" w:hAnsi="Times New Roman" w:cs="Times New Roman"/>
          <w:sz w:val="22"/>
          <w:szCs w:val="22"/>
        </w:rPr>
      </w:pPr>
    </w:p>
    <w:p w14:paraId="2436BDCF" w14:textId="77777777" w:rsidR="000028B6" w:rsidRPr="006D7DCA" w:rsidRDefault="000028B6" w:rsidP="000028B6">
      <w:pPr>
        <w:spacing w:before="240" w:line="360" w:lineRule="auto"/>
        <w:jc w:val="both"/>
        <w:rPr>
          <w:rFonts w:ascii="Times New Roman" w:hAnsi="Times New Roman" w:cs="Times New Roman"/>
          <w:sz w:val="22"/>
          <w:szCs w:val="22"/>
        </w:rPr>
      </w:pPr>
    </w:p>
    <w:p w14:paraId="52C21CAF" w14:textId="77777777" w:rsidR="000028B6" w:rsidRPr="006D7DCA" w:rsidRDefault="000028B6" w:rsidP="000028B6">
      <w:pPr>
        <w:spacing w:before="240" w:line="360" w:lineRule="auto"/>
        <w:jc w:val="both"/>
        <w:rPr>
          <w:rFonts w:ascii="Times New Roman" w:hAnsi="Times New Roman" w:cs="Times New Roman"/>
          <w:sz w:val="22"/>
          <w:szCs w:val="22"/>
        </w:rPr>
      </w:pPr>
    </w:p>
    <w:p w14:paraId="71C94225" w14:textId="0B7909FF" w:rsidR="006270A8" w:rsidRPr="006D7DCA" w:rsidRDefault="002F27A1" w:rsidP="002C61DC">
      <w:pPr>
        <w:spacing w:before="240" w:line="360" w:lineRule="auto"/>
        <w:jc w:val="center"/>
        <w:rPr>
          <w:rFonts w:ascii="Times New Roman" w:hAnsi="Times New Roman" w:cs="Times New Roman"/>
          <w:b/>
          <w:bCs/>
          <w:sz w:val="22"/>
          <w:szCs w:val="22"/>
        </w:rPr>
      </w:pPr>
      <w:r w:rsidRPr="006D7DCA">
        <w:rPr>
          <w:rFonts w:ascii="Times New Roman" w:hAnsi="Times New Roman" w:cs="Times New Roman"/>
          <w:b/>
          <w:bCs/>
          <w:sz w:val="22"/>
          <w:szCs w:val="22"/>
        </w:rPr>
        <w:lastRenderedPageBreak/>
        <w:t>INTRODUCCIÓN</w:t>
      </w:r>
    </w:p>
    <w:p w14:paraId="25CCAB36" w14:textId="1C90E328" w:rsidR="00D06D26" w:rsidRPr="006D7DCA" w:rsidRDefault="00D06D26" w:rsidP="000213A2">
      <w:pPr>
        <w:spacing w:before="240" w:line="360" w:lineRule="auto"/>
        <w:jc w:val="both"/>
        <w:rPr>
          <w:rFonts w:ascii="Times New Roman" w:hAnsi="Times New Roman" w:cs="Times New Roman"/>
          <w:sz w:val="22"/>
          <w:szCs w:val="22"/>
        </w:rPr>
      </w:pPr>
      <w:bookmarkStart w:id="0" w:name="_Hlk217422264"/>
      <w:r w:rsidRPr="006D7DCA">
        <w:rPr>
          <w:rFonts w:ascii="Times New Roman" w:hAnsi="Times New Roman" w:cs="Times New Roman"/>
          <w:sz w:val="22"/>
          <w:szCs w:val="22"/>
        </w:rPr>
        <w:t>La preocupación por la salud mental ha aumentado en los últimos años, consolidándose como un problema de alcance mundial. Este fenómeno se ha visto intensificado tras la pandemia de COVID-19, la cual se ha asociado con un incremento significativo de los niveles de estrés, ansiedad y depresión en la población general (Wang et al., 2021; WHO, 2020). Las estimaciones internacionales indican que aproximadamente 970 millones de personas presentan algún trastorno mental, lo que equivale a cerca del 13% de la población mundial. Entre las alteraciones más prevalentes destacan los trastornos de ansiedad, que representan alrededor del 31</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0%, y los trastornos depresivos, con una prevalencia estimada del 28</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 xml:space="preserve">9% (WHO, 2022). De manera complementaria, los datos disponibles muestran que en torno al 35% de la población adulta a nivel mundial afirman experimentar estrés (Smith &amp; </w:t>
      </w:r>
      <w:proofErr w:type="spellStart"/>
      <w:r w:rsidRPr="006D7DCA">
        <w:rPr>
          <w:rFonts w:ascii="Times New Roman" w:hAnsi="Times New Roman" w:cs="Times New Roman"/>
          <w:sz w:val="22"/>
          <w:szCs w:val="22"/>
        </w:rPr>
        <w:t>Wesselbaum</w:t>
      </w:r>
      <w:proofErr w:type="spellEnd"/>
      <w:r w:rsidRPr="006D7DCA">
        <w:rPr>
          <w:rFonts w:ascii="Times New Roman" w:hAnsi="Times New Roman" w:cs="Times New Roman"/>
          <w:sz w:val="22"/>
          <w:szCs w:val="22"/>
        </w:rPr>
        <w:t>, 2025).</w:t>
      </w:r>
    </w:p>
    <w:p w14:paraId="776896DD" w14:textId="08F47CAA" w:rsidR="00C67825" w:rsidRPr="006D7DCA" w:rsidRDefault="00C67825" w:rsidP="006734DA">
      <w:pPr>
        <w:spacing w:before="240" w:line="360" w:lineRule="auto"/>
        <w:jc w:val="both"/>
        <w:rPr>
          <w:rFonts w:ascii="Times New Roman" w:hAnsi="Times New Roman" w:cs="Times New Roman"/>
          <w:sz w:val="22"/>
          <w:szCs w:val="22"/>
        </w:rPr>
      </w:pPr>
      <w:r w:rsidRPr="006D7DCA">
        <w:rPr>
          <w:rFonts w:ascii="Times New Roman" w:hAnsi="Times New Roman" w:cs="Times New Roman"/>
          <w:sz w:val="22"/>
          <w:szCs w:val="22"/>
        </w:rPr>
        <w:t xml:space="preserve">En el contexto europeo, datos recientes del Flash </w:t>
      </w:r>
      <w:proofErr w:type="spellStart"/>
      <w:r w:rsidRPr="006D7DCA">
        <w:rPr>
          <w:rFonts w:ascii="Times New Roman" w:hAnsi="Times New Roman" w:cs="Times New Roman"/>
          <w:sz w:val="22"/>
          <w:szCs w:val="22"/>
        </w:rPr>
        <w:t>Eurobarometer</w:t>
      </w:r>
      <w:proofErr w:type="spellEnd"/>
      <w:r w:rsidRPr="006D7DCA">
        <w:rPr>
          <w:rFonts w:ascii="Times New Roman" w:hAnsi="Times New Roman" w:cs="Times New Roman"/>
          <w:sz w:val="22"/>
          <w:szCs w:val="22"/>
        </w:rPr>
        <w:t xml:space="preserve"> 530 indican que cerca de la mitad de la población de la Unión Europea, concretamente el 46%, afirma haber experimentado en los últimos doce meses algún problema emocional o psicológico, como síntomas de ansiedad o depresión. De manera complementaria, en el contexto latinoamericano, la evidencia disponible señala una elevada prevalencia de trastornos mentales en la población adulta, con estimaciones cercanas al 12% para la depresión y del 14</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55% para los trastornos de ansiedad (Errázuriz et al., 2023; Errázuriz et al., 2025).</w:t>
      </w:r>
      <w:r w:rsidR="00CA2715" w:rsidRPr="006D7DCA">
        <w:t xml:space="preserve"> </w:t>
      </w:r>
      <w:r w:rsidR="00883915" w:rsidRPr="006D7DCA">
        <w:rPr>
          <w:rFonts w:ascii="Times New Roman" w:hAnsi="Times New Roman" w:cs="Times New Roman"/>
          <w:sz w:val="22"/>
          <w:szCs w:val="22"/>
        </w:rPr>
        <w:t>En el contexto español, la salud mental representa igualmente una carga relevante de enfermedad y un factor clave para el bienestar de la población. Datos procedentes de la Encuesta Nacional de Salud indican que aproximadamente una de cada diez personas de 15 y más años ha sido diagnosticada de algún problema de salud mental, siendo la ansiedad y la depresión los trastornos más frecuentes. En concreto, el 6</w:t>
      </w:r>
      <w:r w:rsidR="000E6BF7" w:rsidRPr="006D7DCA">
        <w:rPr>
          <w:rFonts w:ascii="Times New Roman" w:hAnsi="Times New Roman" w:cs="Times New Roman"/>
          <w:sz w:val="22"/>
          <w:szCs w:val="22"/>
        </w:rPr>
        <w:t>.</w:t>
      </w:r>
      <w:r w:rsidR="00883915" w:rsidRPr="006D7DCA">
        <w:rPr>
          <w:rFonts w:ascii="Times New Roman" w:hAnsi="Times New Roman" w:cs="Times New Roman"/>
          <w:sz w:val="22"/>
          <w:szCs w:val="22"/>
        </w:rPr>
        <w:t>6% de la población adulta refiere padecer ansiedad crónica y el 6</w:t>
      </w:r>
      <w:r w:rsidR="000E6BF7" w:rsidRPr="006D7DCA">
        <w:rPr>
          <w:rFonts w:ascii="Times New Roman" w:hAnsi="Times New Roman" w:cs="Times New Roman"/>
          <w:sz w:val="22"/>
          <w:szCs w:val="22"/>
        </w:rPr>
        <w:t>.</w:t>
      </w:r>
      <w:r w:rsidR="00883915" w:rsidRPr="006D7DCA">
        <w:rPr>
          <w:rFonts w:ascii="Times New Roman" w:hAnsi="Times New Roman" w:cs="Times New Roman"/>
          <w:sz w:val="22"/>
          <w:szCs w:val="22"/>
        </w:rPr>
        <w:t>5% declara síntomas compatibles con depresión (Ministerio de Sanidad, 2025).</w:t>
      </w:r>
    </w:p>
    <w:p w14:paraId="534B6D5E" w14:textId="7D5FF812" w:rsidR="00BE59DD" w:rsidRPr="006D7DCA" w:rsidRDefault="00DE6840" w:rsidP="006734DA">
      <w:pPr>
        <w:spacing w:before="240" w:line="360" w:lineRule="auto"/>
        <w:jc w:val="both"/>
        <w:rPr>
          <w:rFonts w:ascii="Times New Roman" w:hAnsi="Times New Roman" w:cs="Times New Roman"/>
          <w:sz w:val="22"/>
          <w:szCs w:val="22"/>
        </w:rPr>
      </w:pPr>
      <w:r w:rsidRPr="006D7DCA">
        <w:rPr>
          <w:rFonts w:ascii="Times New Roman" w:hAnsi="Times New Roman" w:cs="Times New Roman"/>
          <w:sz w:val="22"/>
          <w:szCs w:val="22"/>
        </w:rPr>
        <w:t xml:space="preserve">En el caso de la población universitaria, </w:t>
      </w:r>
      <w:proofErr w:type="spellStart"/>
      <w:r w:rsidRPr="006D7DCA">
        <w:rPr>
          <w:rFonts w:ascii="Times New Roman" w:hAnsi="Times New Roman" w:cs="Times New Roman"/>
          <w:sz w:val="22"/>
          <w:szCs w:val="22"/>
        </w:rPr>
        <w:t>Leonangeli</w:t>
      </w:r>
      <w:proofErr w:type="spellEnd"/>
      <w:r w:rsidRPr="006D7DCA">
        <w:rPr>
          <w:rFonts w:ascii="Times New Roman" w:hAnsi="Times New Roman" w:cs="Times New Roman"/>
          <w:sz w:val="22"/>
          <w:szCs w:val="22"/>
        </w:rPr>
        <w:t xml:space="preserve"> et al. (2024) señalan que aproximadamente un 20% del estudiantado presenta niveles graves o extremadamente graves de problemas de salud mental, lo que confirma la elevada vulnerabilidad de este colectivo. A nivel mundial, se han reportado prevalencias de depresión del 35</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41% en niveles leves y del 13</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42% en niveles graves. De forma similar, la ansiedad muestra una elevada frecuencia, con prevalencias del 40</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21% en niveles leves y del 16</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79% en niveles graves. En cuanto al estrés, los datos globales indican que aproximadamente el 36</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34% del estudiantado universitario presenta niveles elevados de esta condición (Paiva et al., 2025).</w:t>
      </w:r>
      <w:r w:rsidRPr="006D7DCA">
        <w:t xml:space="preserve"> </w:t>
      </w:r>
      <w:r w:rsidRPr="006D7DCA">
        <w:rPr>
          <w:rFonts w:ascii="Times New Roman" w:hAnsi="Times New Roman" w:cs="Times New Roman"/>
          <w:sz w:val="22"/>
          <w:szCs w:val="22"/>
        </w:rPr>
        <w:t>En el contexto europeo y, específicamente, en España, la prevalencia de problemas de salud mental en población universitaria sigue siendo elevada. Estudios realizados en estudiantado universitario español han identificado prevalencias del 18</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4% para la depresión, del 23</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6% para la ansiedad y del 34</w:t>
      </w:r>
      <w:r w:rsidR="000E6BF7" w:rsidRPr="006D7DCA">
        <w:rPr>
          <w:rFonts w:ascii="Times New Roman" w:hAnsi="Times New Roman" w:cs="Times New Roman"/>
          <w:sz w:val="22"/>
          <w:szCs w:val="22"/>
        </w:rPr>
        <w:t>.</w:t>
      </w:r>
      <w:r w:rsidRPr="006D7DCA">
        <w:rPr>
          <w:rFonts w:ascii="Times New Roman" w:hAnsi="Times New Roman" w:cs="Times New Roman"/>
          <w:sz w:val="22"/>
          <w:szCs w:val="22"/>
        </w:rPr>
        <w:t>5% para el estrés, lo que confirma que estas alteraciones emocionales constituyen un fenómeno frecuente en el ámbito académico (Ramón-Arbués et al., 2020). En conjunto, estos datos ponen de manifiesto que la salud mental representa un reto estructural en el contexto universitario, que trasciende situaciones coyunturales o excepcionales. Ante este escenario, resulta prioritario analizar la salud mental en el periodo posterior a la pandemia y profundizar en los factores que inciden de forma directa en el bienestar psicológico del estudiantado universitario, con el fin de generar evidencia útil para la prevención y la intervención en contextos educativos contemporáneos (WHO, 2020).</w:t>
      </w:r>
    </w:p>
    <w:bookmarkEnd w:id="0"/>
    <w:p w14:paraId="28D131B0" w14:textId="5417F2D7" w:rsidR="00EA181E" w:rsidRPr="006D7DCA" w:rsidRDefault="00E3504C" w:rsidP="006734DA">
      <w:pPr>
        <w:spacing w:before="240" w:line="360" w:lineRule="auto"/>
        <w:jc w:val="both"/>
        <w:rPr>
          <w:rFonts w:ascii="Times New Roman" w:hAnsi="Times New Roman" w:cs="Times New Roman"/>
          <w:sz w:val="22"/>
          <w:szCs w:val="22"/>
        </w:rPr>
      </w:pPr>
      <w:r w:rsidRPr="006D7DCA">
        <w:rPr>
          <w:rFonts w:ascii="Times New Roman" w:hAnsi="Times New Roman" w:cs="Times New Roman"/>
          <w:sz w:val="22"/>
          <w:szCs w:val="22"/>
        </w:rPr>
        <w:t xml:space="preserve">En este contexto, la educación en línea adquiere una relevancia particular, no solo como modalidad emergente, sino como modelo educativo consolidado, con implicaciones específicas para la salud mental del estudiantado. El tiempo prolongado de exposición a pantallas, inherente a este modelo, se ha asociado con la aparición de síntomas como el estrés, la ansiedad y la depresión, así como con una disminución en la calidad de vida (Deyo et al., 2021). </w:t>
      </w:r>
      <w:r w:rsidR="00EA181E" w:rsidRPr="006D7DCA">
        <w:rPr>
          <w:rFonts w:ascii="Times New Roman" w:hAnsi="Times New Roman" w:cs="Times New Roman"/>
          <w:sz w:val="22"/>
          <w:szCs w:val="22"/>
        </w:rPr>
        <w:t>No obstante, las investigaciones que vinculan la educación en línea con trastornos mentales se han centrado, en su mayoría, en las condiciones impuestas por la COVID-19 (</w:t>
      </w:r>
      <w:proofErr w:type="spellStart"/>
      <w:r w:rsidR="00EA181E" w:rsidRPr="006D7DCA">
        <w:rPr>
          <w:rFonts w:ascii="Times New Roman" w:hAnsi="Times New Roman" w:cs="Times New Roman"/>
          <w:sz w:val="22"/>
          <w:szCs w:val="22"/>
        </w:rPr>
        <w:t>Mseleku</w:t>
      </w:r>
      <w:proofErr w:type="spellEnd"/>
      <w:r w:rsidR="00EA181E" w:rsidRPr="006D7DCA">
        <w:rPr>
          <w:rFonts w:ascii="Times New Roman" w:hAnsi="Times New Roman" w:cs="Times New Roman"/>
          <w:sz w:val="22"/>
          <w:szCs w:val="22"/>
        </w:rPr>
        <w:t>, 2020).</w:t>
      </w:r>
      <w:r w:rsidR="008A4046" w:rsidRPr="006D7DCA">
        <w:rPr>
          <w:rFonts w:ascii="Times New Roman" w:hAnsi="Times New Roman" w:cs="Times New Roman"/>
          <w:sz w:val="22"/>
          <w:szCs w:val="22"/>
        </w:rPr>
        <w:t xml:space="preserve"> </w:t>
      </w:r>
    </w:p>
    <w:p w14:paraId="5EDD3482" w14:textId="45AE60A1" w:rsidR="00234A52" w:rsidRPr="006D7DCA" w:rsidRDefault="00234A52" w:rsidP="002C61DC">
      <w:pPr>
        <w:spacing w:before="240" w:line="360" w:lineRule="auto"/>
        <w:jc w:val="both"/>
        <w:rPr>
          <w:rFonts w:ascii="Times New Roman" w:hAnsi="Times New Roman" w:cs="Times New Roman"/>
          <w:sz w:val="22"/>
          <w:szCs w:val="22"/>
        </w:rPr>
      </w:pPr>
      <w:bookmarkStart w:id="1" w:name="_Hlk217424535"/>
      <w:r w:rsidRPr="006D7DCA">
        <w:rPr>
          <w:rFonts w:ascii="Times New Roman" w:hAnsi="Times New Roman" w:cs="Times New Roman"/>
          <w:sz w:val="22"/>
          <w:szCs w:val="22"/>
        </w:rPr>
        <w:t>Desde esta perspectiva,</w:t>
      </w:r>
      <w:r w:rsidR="008A4046" w:rsidRPr="006D7DCA">
        <w:t xml:space="preserve"> </w:t>
      </w:r>
      <w:r w:rsidR="008A4046" w:rsidRPr="006D7DCA">
        <w:rPr>
          <w:rFonts w:ascii="Times New Roman" w:hAnsi="Times New Roman" w:cs="Times New Roman"/>
          <w:sz w:val="22"/>
          <w:szCs w:val="22"/>
        </w:rPr>
        <w:t xml:space="preserve">el estilo de vida del estudiantado adquiere </w:t>
      </w:r>
      <w:r w:rsidR="004B710E" w:rsidRPr="006D7DCA">
        <w:rPr>
          <w:rFonts w:ascii="Times New Roman" w:hAnsi="Times New Roman" w:cs="Times New Roman"/>
          <w:sz w:val="22"/>
          <w:szCs w:val="22"/>
        </w:rPr>
        <w:t>un papel c</w:t>
      </w:r>
      <w:r w:rsidRPr="006D7DCA">
        <w:rPr>
          <w:rFonts w:ascii="Times New Roman" w:hAnsi="Times New Roman" w:cs="Times New Roman"/>
          <w:sz w:val="22"/>
          <w:szCs w:val="22"/>
        </w:rPr>
        <w:t>entral</w:t>
      </w:r>
      <w:r w:rsidR="008A4046" w:rsidRPr="006D7DCA">
        <w:rPr>
          <w:rFonts w:ascii="Times New Roman" w:hAnsi="Times New Roman" w:cs="Times New Roman"/>
          <w:sz w:val="22"/>
          <w:szCs w:val="22"/>
        </w:rPr>
        <w:t>,</w:t>
      </w:r>
      <w:r w:rsidR="00EA181E" w:rsidRPr="006D7DCA">
        <w:rPr>
          <w:rFonts w:ascii="Times New Roman" w:hAnsi="Times New Roman" w:cs="Times New Roman"/>
          <w:sz w:val="22"/>
          <w:szCs w:val="22"/>
        </w:rPr>
        <w:t xml:space="preserve"> ya que este se define como el conjunto de hábitos y patrones de conducta mantenidos a lo largo del tiempo que pueden actuar como factores de riesgo o protección para la salud mental (</w:t>
      </w:r>
      <w:proofErr w:type="spellStart"/>
      <w:r w:rsidR="00EA181E" w:rsidRPr="006D7DCA">
        <w:rPr>
          <w:rFonts w:ascii="Times New Roman" w:hAnsi="Times New Roman" w:cs="Times New Roman"/>
          <w:sz w:val="22"/>
          <w:szCs w:val="22"/>
        </w:rPr>
        <w:t>Farhud</w:t>
      </w:r>
      <w:proofErr w:type="spellEnd"/>
      <w:r w:rsidR="00EA181E" w:rsidRPr="006D7DCA">
        <w:rPr>
          <w:rFonts w:ascii="Times New Roman" w:hAnsi="Times New Roman" w:cs="Times New Roman"/>
          <w:sz w:val="22"/>
          <w:szCs w:val="22"/>
        </w:rPr>
        <w:t>, 2015). Entre estos hábitos destacan la actividad física</w:t>
      </w:r>
      <w:r w:rsidR="002C61DC" w:rsidRPr="006D7DCA">
        <w:rPr>
          <w:rFonts w:ascii="Times New Roman" w:hAnsi="Times New Roman" w:cs="Times New Roman"/>
          <w:sz w:val="22"/>
          <w:szCs w:val="22"/>
        </w:rPr>
        <w:t xml:space="preserve"> (AF)</w:t>
      </w:r>
      <w:r w:rsidR="00EA181E" w:rsidRPr="006D7DCA">
        <w:rPr>
          <w:rFonts w:ascii="Times New Roman" w:hAnsi="Times New Roman" w:cs="Times New Roman"/>
          <w:sz w:val="22"/>
          <w:szCs w:val="22"/>
        </w:rPr>
        <w:t>, la dieta, el sueño y el tiempo de exposición a pantallas, todos ellos asociados con la calidad de vida (Sánchez-Ojeda &amp; De Luna-</w:t>
      </w:r>
      <w:proofErr w:type="spellStart"/>
      <w:r w:rsidR="00EA181E" w:rsidRPr="006D7DCA">
        <w:rPr>
          <w:rFonts w:ascii="Times New Roman" w:hAnsi="Times New Roman" w:cs="Times New Roman"/>
          <w:sz w:val="22"/>
          <w:szCs w:val="22"/>
        </w:rPr>
        <w:t>Bertos</w:t>
      </w:r>
      <w:proofErr w:type="spellEnd"/>
      <w:r w:rsidR="00EA181E" w:rsidRPr="006D7DCA">
        <w:rPr>
          <w:rFonts w:ascii="Times New Roman" w:hAnsi="Times New Roman" w:cs="Times New Roman"/>
          <w:sz w:val="22"/>
          <w:szCs w:val="22"/>
        </w:rPr>
        <w:t xml:space="preserve">, 2015). </w:t>
      </w:r>
      <w:r w:rsidR="006F42E8" w:rsidRPr="006D7DCA">
        <w:rPr>
          <w:rFonts w:ascii="Times New Roman" w:hAnsi="Times New Roman" w:cs="Times New Roman"/>
          <w:sz w:val="22"/>
          <w:szCs w:val="22"/>
        </w:rPr>
        <w:t>La evidencia disponible indica que estos comportamientos no solo influyen en la salud mental, sino que también se relacionan con el rendimiento académico (</w:t>
      </w:r>
      <w:proofErr w:type="spellStart"/>
      <w:r w:rsidR="00EF3E40" w:rsidRPr="006D7DCA">
        <w:rPr>
          <w:rFonts w:ascii="Times New Roman" w:hAnsi="Times New Roman" w:cs="Times New Roman"/>
          <w:sz w:val="22"/>
          <w:szCs w:val="22"/>
        </w:rPr>
        <w:t>Whatnall</w:t>
      </w:r>
      <w:proofErr w:type="spellEnd"/>
      <w:r w:rsidR="00EF3E40" w:rsidRPr="006D7DCA">
        <w:rPr>
          <w:rFonts w:ascii="Times New Roman" w:hAnsi="Times New Roman" w:cs="Times New Roman"/>
          <w:sz w:val="22"/>
          <w:szCs w:val="22"/>
        </w:rPr>
        <w:t xml:space="preserve"> et al., 2024</w:t>
      </w:r>
      <w:r w:rsidR="006F42E8" w:rsidRPr="006D7DCA">
        <w:rPr>
          <w:rFonts w:ascii="Times New Roman" w:hAnsi="Times New Roman" w:cs="Times New Roman"/>
          <w:sz w:val="22"/>
          <w:szCs w:val="22"/>
        </w:rPr>
        <w:t xml:space="preserve">). </w:t>
      </w:r>
      <w:r w:rsidR="00313DB7" w:rsidRPr="006D7DCA">
        <w:rPr>
          <w:rFonts w:ascii="Times New Roman" w:hAnsi="Times New Roman" w:cs="Times New Roman"/>
          <w:sz w:val="22"/>
          <w:szCs w:val="22"/>
        </w:rPr>
        <w:t>Diversos estudios en población universitaria han mostrado que niveles más elevados de actividad física se relacionan con una mejor concentración, mayor rendimiento académico y menor agotamiento, mientras que el sedentarismo se asocia con malestar psicológico, síntomas depresivos y un peor desempeño académico (Rodríguez-Ayllon et al., 2019</w:t>
      </w:r>
      <w:r w:rsidR="005A1E33" w:rsidRPr="006D7DCA">
        <w:rPr>
          <w:rFonts w:ascii="Times New Roman" w:hAnsi="Times New Roman" w:cs="Times New Roman"/>
          <w:sz w:val="22"/>
          <w:szCs w:val="22"/>
        </w:rPr>
        <w:t>; Vinueza-Fernández et al. 2025</w:t>
      </w:r>
      <w:r w:rsidR="00EF3E40" w:rsidRPr="006D7DCA">
        <w:rPr>
          <w:rFonts w:ascii="Times New Roman" w:hAnsi="Times New Roman" w:cs="Times New Roman"/>
          <w:sz w:val="22"/>
          <w:szCs w:val="22"/>
        </w:rPr>
        <w:t>; Wunsch et al., 2021</w:t>
      </w:r>
      <w:r w:rsidR="00313DB7" w:rsidRPr="006D7DCA">
        <w:rPr>
          <w:rFonts w:ascii="Times New Roman" w:hAnsi="Times New Roman" w:cs="Times New Roman"/>
          <w:sz w:val="22"/>
          <w:szCs w:val="22"/>
        </w:rPr>
        <w:t xml:space="preserve">). De manera complementaria, la adherencia a patrones dietéticos saludables, como la dieta mediterránea, respaldada por una amplia base de evidencia científica, se ha vinculado no solo con menores niveles de estrés y depresión (Guasch-Ferré &amp; Willett, 2021; </w:t>
      </w:r>
      <w:proofErr w:type="spellStart"/>
      <w:r w:rsidR="00313DB7" w:rsidRPr="006D7DCA">
        <w:rPr>
          <w:rFonts w:ascii="Times New Roman" w:hAnsi="Times New Roman" w:cs="Times New Roman"/>
          <w:sz w:val="22"/>
          <w:szCs w:val="22"/>
        </w:rPr>
        <w:t>Ventriglio</w:t>
      </w:r>
      <w:proofErr w:type="spellEnd"/>
      <w:r w:rsidR="00313DB7" w:rsidRPr="006D7DCA">
        <w:rPr>
          <w:rFonts w:ascii="Times New Roman" w:hAnsi="Times New Roman" w:cs="Times New Roman"/>
          <w:sz w:val="22"/>
          <w:szCs w:val="22"/>
        </w:rPr>
        <w:t xml:space="preserve"> et al., 2020), sino también con una mejor función cognitiva, mayor energía percibida y un desempeño académico más favorable en estudiantes universitarios (Burrows et al., 2017).</w:t>
      </w:r>
    </w:p>
    <w:bookmarkEnd w:id="1"/>
    <w:p w14:paraId="5A3F3B86" w14:textId="77777777" w:rsidR="00F541DF" w:rsidRPr="006D7DCA" w:rsidRDefault="00234A52" w:rsidP="006734DA">
      <w:pPr>
        <w:spacing w:before="240" w:line="360" w:lineRule="auto"/>
        <w:jc w:val="both"/>
        <w:rPr>
          <w:rFonts w:ascii="Times New Roman" w:hAnsi="Times New Roman" w:cs="Times New Roman"/>
          <w:sz w:val="22"/>
          <w:szCs w:val="22"/>
        </w:rPr>
      </w:pPr>
      <w:r w:rsidRPr="006D7DCA">
        <w:rPr>
          <w:rFonts w:ascii="Times New Roman" w:hAnsi="Times New Roman" w:cs="Times New Roman"/>
          <w:sz w:val="22"/>
          <w:szCs w:val="22"/>
        </w:rPr>
        <w:t xml:space="preserve">La calidad del sueño constituye otro elemento crítico en la salud mental del estudiantado universitario, especialmente en contextos educativos caracterizados por una alta autonomía y flexibilidad temporal, como la educación en línea. A pesar de las recomendaciones de dormir entre 7 y 9 horas diarias, hasta el 70% del estudiantado universitario reporta problemas de sueño, situación que se ha relacionado con una mayor prevalencia de trastornos mentales (Altun et al., 2012; </w:t>
      </w:r>
      <w:proofErr w:type="spellStart"/>
      <w:r w:rsidRPr="006D7DCA">
        <w:rPr>
          <w:rFonts w:ascii="Times New Roman" w:hAnsi="Times New Roman" w:cs="Times New Roman"/>
          <w:sz w:val="22"/>
          <w:szCs w:val="22"/>
        </w:rPr>
        <w:t>Hirshkowitz</w:t>
      </w:r>
      <w:proofErr w:type="spellEnd"/>
      <w:r w:rsidRPr="006D7DCA">
        <w:rPr>
          <w:rFonts w:ascii="Times New Roman" w:hAnsi="Times New Roman" w:cs="Times New Roman"/>
          <w:sz w:val="22"/>
          <w:szCs w:val="22"/>
        </w:rPr>
        <w:t xml:space="preserve"> et al., 2015; Zhang et al., 2022). Paralelamente, el tiempo medio de exposición a pantallas ha aumentado de forma sostenida en los últimos años, junto con una incorporación cada vez más temprana de dispositivos digitales y el desarrollo de competencias tecnológicas (Ferrari et al., 2019; Rodríguez &amp; Estrada, 2021; Waisman et al., 2018).</w:t>
      </w:r>
      <w:r w:rsidRPr="006D7DCA">
        <w:t xml:space="preserve"> </w:t>
      </w:r>
      <w:r w:rsidRPr="006D7DCA">
        <w:rPr>
          <w:rFonts w:ascii="Times New Roman" w:hAnsi="Times New Roman" w:cs="Times New Roman"/>
          <w:sz w:val="22"/>
          <w:szCs w:val="22"/>
        </w:rPr>
        <w:t xml:space="preserve">La literatura coincide en señalar que esta exposición prolongada puede interactuar negativamente con los patrones de sueño y los niveles de actividad física, incrementando el riesgo de deterioro del bienestar físico y mental (Hale et al., 2018; Wang &amp; </w:t>
      </w:r>
      <w:proofErr w:type="spellStart"/>
      <w:r w:rsidRPr="006D7DCA">
        <w:rPr>
          <w:rFonts w:ascii="Times New Roman" w:hAnsi="Times New Roman" w:cs="Times New Roman"/>
          <w:sz w:val="22"/>
          <w:szCs w:val="22"/>
        </w:rPr>
        <w:t>Bíró</w:t>
      </w:r>
      <w:proofErr w:type="spellEnd"/>
      <w:r w:rsidRPr="006D7DCA">
        <w:rPr>
          <w:rFonts w:ascii="Times New Roman" w:hAnsi="Times New Roman" w:cs="Times New Roman"/>
          <w:sz w:val="22"/>
          <w:szCs w:val="22"/>
        </w:rPr>
        <w:t>, 2021).</w:t>
      </w:r>
    </w:p>
    <w:p w14:paraId="282F4BB3" w14:textId="69C23384" w:rsidR="00234A52" w:rsidRPr="006D7DCA" w:rsidRDefault="00234A52" w:rsidP="006734DA">
      <w:pPr>
        <w:spacing w:before="240" w:line="360" w:lineRule="auto"/>
        <w:jc w:val="both"/>
        <w:rPr>
          <w:rFonts w:ascii="Times New Roman" w:hAnsi="Times New Roman" w:cs="Times New Roman"/>
          <w:sz w:val="22"/>
          <w:szCs w:val="22"/>
        </w:rPr>
      </w:pPr>
      <w:r w:rsidRPr="006D7DCA">
        <w:rPr>
          <w:rFonts w:ascii="Times New Roman" w:hAnsi="Times New Roman" w:cs="Times New Roman"/>
          <w:sz w:val="22"/>
          <w:szCs w:val="22"/>
        </w:rPr>
        <w:t xml:space="preserve">Estos factores individuales se proyectan de manera directa sobre el ámbito académico, donde la salud mental, el estilo de vida y el rendimiento académico conforman un sistema interdependiente. </w:t>
      </w:r>
      <w:r w:rsidR="00EA181E" w:rsidRPr="006D7DCA">
        <w:rPr>
          <w:rFonts w:ascii="Times New Roman" w:hAnsi="Times New Roman" w:cs="Times New Roman"/>
          <w:sz w:val="22"/>
          <w:szCs w:val="22"/>
        </w:rPr>
        <w:t>Por un lado, el compromiso académico se concibe como el grado de participación e implicación del estudiant</w:t>
      </w:r>
      <w:r w:rsidR="008A4046" w:rsidRPr="006D7DCA">
        <w:rPr>
          <w:rFonts w:ascii="Times New Roman" w:hAnsi="Times New Roman" w:cs="Times New Roman"/>
          <w:sz w:val="22"/>
          <w:szCs w:val="22"/>
        </w:rPr>
        <w:t xml:space="preserve">ado </w:t>
      </w:r>
      <w:r w:rsidR="00EA181E" w:rsidRPr="006D7DCA">
        <w:rPr>
          <w:rFonts w:ascii="Times New Roman" w:hAnsi="Times New Roman" w:cs="Times New Roman"/>
          <w:sz w:val="22"/>
          <w:szCs w:val="22"/>
        </w:rPr>
        <w:t xml:space="preserve">en su proceso de aprendizaje, con el objetivo de alcanzar resultados óptimos (Álvarez-Pérez et al., 2021). Este estado mental positivo se caracteriza por tres rasgos: vigor, entendido como la capacidad de resistir y afrontar tareas específicas; dedicación, asociada a un alto nivel de implicación; y absorción, que implica un estado profundo de concentración e inmersión en la actividad. Diversos estudios confirman que el compromiso académico, también conocido como </w:t>
      </w:r>
      <w:r w:rsidR="00583C1B" w:rsidRPr="006D7DCA">
        <w:rPr>
          <w:rFonts w:ascii="Times New Roman" w:hAnsi="Times New Roman" w:cs="Times New Roman"/>
          <w:sz w:val="22"/>
          <w:szCs w:val="22"/>
        </w:rPr>
        <w:t>“</w:t>
      </w:r>
      <w:proofErr w:type="spellStart"/>
      <w:r w:rsidR="00EA181E" w:rsidRPr="006D7DCA">
        <w:rPr>
          <w:rFonts w:ascii="Times New Roman" w:hAnsi="Times New Roman" w:cs="Times New Roman"/>
          <w:sz w:val="22"/>
          <w:szCs w:val="22"/>
        </w:rPr>
        <w:t>engagement</w:t>
      </w:r>
      <w:proofErr w:type="spellEnd"/>
      <w:r w:rsidR="00583C1B" w:rsidRPr="006D7DCA">
        <w:rPr>
          <w:rFonts w:ascii="Times New Roman" w:hAnsi="Times New Roman" w:cs="Times New Roman"/>
          <w:sz w:val="22"/>
          <w:szCs w:val="22"/>
        </w:rPr>
        <w:t>”</w:t>
      </w:r>
      <w:r w:rsidR="00EA181E" w:rsidRPr="006D7DCA">
        <w:rPr>
          <w:rFonts w:ascii="Times New Roman" w:hAnsi="Times New Roman" w:cs="Times New Roman"/>
          <w:sz w:val="22"/>
          <w:szCs w:val="22"/>
        </w:rPr>
        <w:t xml:space="preserve">, se asocia de manera positiva con la satisfacción académica del alumnado (Hensley et al., 2021). </w:t>
      </w:r>
      <w:r w:rsidRPr="006D7DCA">
        <w:rPr>
          <w:rFonts w:ascii="Times New Roman" w:hAnsi="Times New Roman" w:cs="Times New Roman"/>
          <w:sz w:val="22"/>
          <w:szCs w:val="22"/>
        </w:rPr>
        <w:t xml:space="preserve">En contraste, el burnout académico representa el polo opuesto, caracterizándose por agotamiento emocional, cinismo y una disminución de la percepción de eficacia personal (Parra &amp; Pérez, 2010; </w:t>
      </w:r>
      <w:proofErr w:type="spellStart"/>
      <w:r w:rsidRPr="006D7DCA">
        <w:rPr>
          <w:rFonts w:ascii="Times New Roman" w:hAnsi="Times New Roman" w:cs="Times New Roman"/>
          <w:sz w:val="22"/>
          <w:szCs w:val="22"/>
        </w:rPr>
        <w:t>Salanova</w:t>
      </w:r>
      <w:proofErr w:type="spellEnd"/>
      <w:r w:rsidRPr="006D7DCA">
        <w:rPr>
          <w:rFonts w:ascii="Times New Roman" w:hAnsi="Times New Roman" w:cs="Times New Roman"/>
          <w:sz w:val="22"/>
          <w:szCs w:val="22"/>
        </w:rPr>
        <w:t xml:space="preserve"> et al., 2005).</w:t>
      </w:r>
    </w:p>
    <w:p w14:paraId="5689A2A5" w14:textId="54AC2068" w:rsidR="00EA181E" w:rsidRPr="006D7DCA" w:rsidRDefault="00EA181E" w:rsidP="006734DA">
      <w:pPr>
        <w:spacing w:before="240" w:line="360" w:lineRule="auto"/>
        <w:jc w:val="both"/>
        <w:rPr>
          <w:rFonts w:ascii="Times New Roman" w:hAnsi="Times New Roman" w:cs="Times New Roman"/>
          <w:sz w:val="22"/>
          <w:szCs w:val="22"/>
        </w:rPr>
      </w:pPr>
      <w:r w:rsidRPr="006D7DCA">
        <w:rPr>
          <w:rFonts w:ascii="Times New Roman" w:hAnsi="Times New Roman" w:cs="Times New Roman"/>
          <w:sz w:val="22"/>
          <w:szCs w:val="22"/>
        </w:rPr>
        <w:t>De manera más específica, el estrés académico se entiende como la angustia mental asociada al temor anticipado al fracaso académico (</w:t>
      </w:r>
      <w:proofErr w:type="spellStart"/>
      <w:r w:rsidR="002D0C40" w:rsidRPr="006D7DCA">
        <w:rPr>
          <w:rFonts w:ascii="Times New Roman" w:hAnsi="Times New Roman" w:cs="Times New Roman"/>
          <w:sz w:val="22"/>
          <w:szCs w:val="22"/>
        </w:rPr>
        <w:t>Putwain</w:t>
      </w:r>
      <w:proofErr w:type="spellEnd"/>
      <w:r w:rsidR="002D0C40" w:rsidRPr="006D7DCA">
        <w:rPr>
          <w:rFonts w:ascii="Times New Roman" w:hAnsi="Times New Roman" w:cs="Times New Roman"/>
          <w:sz w:val="22"/>
          <w:szCs w:val="22"/>
        </w:rPr>
        <w:t>, 2007</w:t>
      </w:r>
      <w:r w:rsidRPr="006D7DCA">
        <w:rPr>
          <w:rFonts w:ascii="Times New Roman" w:hAnsi="Times New Roman" w:cs="Times New Roman"/>
          <w:sz w:val="22"/>
          <w:szCs w:val="22"/>
        </w:rPr>
        <w:t>). Este factor repercute negativamente en diversos procesos cognitivos y afectivos, influyendo en el desempeño estudiantil en el contexto académico (Muñoz, 2017). Diversos estudios respaldan estas conclusiones, destacando que las experiencias universitarias marcadas por el estrés pueden tener consecuencias fisiológicas, cognitivas, afectivas y, en última instancia, afectar el rendimiento académico (Martín, 2007). Como consecuencia de ello, la persistencia de estos estresores genera un desequilibrio sistémico que se manifiesta en diversos síntomas, obligando al alumnado a afrontar situaciones académicas estresantes para recuperar su equilibrio interno (Barraza, 2009).</w:t>
      </w:r>
      <w:r w:rsidR="008A4046" w:rsidRPr="006D7DCA">
        <w:rPr>
          <w:rFonts w:ascii="Times New Roman" w:hAnsi="Times New Roman" w:cs="Times New Roman"/>
          <w:sz w:val="22"/>
          <w:szCs w:val="22"/>
        </w:rPr>
        <w:t xml:space="preserve"> </w:t>
      </w:r>
      <w:r w:rsidR="00234A52" w:rsidRPr="006D7DCA">
        <w:rPr>
          <w:rFonts w:ascii="Times New Roman" w:hAnsi="Times New Roman" w:cs="Times New Roman"/>
          <w:sz w:val="22"/>
          <w:szCs w:val="22"/>
        </w:rPr>
        <w:t>La literatura destaca que las estrategias de afrontamiento adaptativas desempeñan un papel modulador clave en la relación entre estrés académico, salud mental y rendimiento (Valdivieso-León et al., 2020; Budimir et al., 2021).</w:t>
      </w:r>
    </w:p>
    <w:p w14:paraId="793189A7" w14:textId="77777777" w:rsidR="00EA181E" w:rsidRPr="006D7DCA" w:rsidRDefault="00EA181E" w:rsidP="006734DA">
      <w:pPr>
        <w:spacing w:before="240" w:line="360" w:lineRule="auto"/>
        <w:jc w:val="both"/>
        <w:rPr>
          <w:rFonts w:ascii="Times New Roman" w:hAnsi="Times New Roman" w:cs="Times New Roman"/>
          <w:sz w:val="22"/>
          <w:szCs w:val="22"/>
        </w:rPr>
      </w:pPr>
      <w:r w:rsidRPr="006D7DCA">
        <w:rPr>
          <w:rFonts w:ascii="Times New Roman" w:hAnsi="Times New Roman" w:cs="Times New Roman"/>
          <w:sz w:val="22"/>
          <w:szCs w:val="22"/>
        </w:rPr>
        <w:t>Por último, en ocasiones, las tareas académicas, el estudio y los trabajos pendientes son aplazados, lo que impide su realización inmediata y genera problemas tanto personales como académicos. Este fenómeno, denominado procrastinación académica, se define como la dilación voluntaria e innecesaria en la ejecución de las tareas debido a diversas causas, tales como su complejidad percibida o el desagrado hacia las mismas (Pereira y Ramos, 2021). Una investigación distingue dos tipos de procrastinación académica, de acuerdo con su frecuencia y magnitud: la esporádica y la crónica (</w:t>
      </w:r>
      <w:proofErr w:type="spellStart"/>
      <w:r w:rsidRPr="006D7DCA">
        <w:rPr>
          <w:rFonts w:ascii="Times New Roman" w:hAnsi="Times New Roman" w:cs="Times New Roman"/>
          <w:sz w:val="22"/>
          <w:szCs w:val="22"/>
        </w:rPr>
        <w:t>Schouwenburg</w:t>
      </w:r>
      <w:proofErr w:type="spellEnd"/>
      <w:r w:rsidRPr="006D7DCA">
        <w:rPr>
          <w:rFonts w:ascii="Times New Roman" w:hAnsi="Times New Roman" w:cs="Times New Roman"/>
          <w:sz w:val="22"/>
          <w:szCs w:val="22"/>
        </w:rPr>
        <w:t>, 2004). Cabe destacar que esta conducta puede tener un efecto perjudicial en la salud mental, favoreciendo la aparición de síntomas depresivos y ansiosos con el tiempo (Jochmann et al., 2024).</w:t>
      </w:r>
    </w:p>
    <w:p w14:paraId="7AA5A35A" w14:textId="1B97EEDA" w:rsidR="002F28F1" w:rsidRPr="006D7DCA" w:rsidRDefault="002F28F1" w:rsidP="006734DA">
      <w:pPr>
        <w:spacing w:before="240" w:line="360" w:lineRule="auto"/>
        <w:jc w:val="both"/>
        <w:rPr>
          <w:rFonts w:ascii="Times New Roman" w:hAnsi="Times New Roman" w:cs="Times New Roman"/>
          <w:sz w:val="22"/>
          <w:szCs w:val="22"/>
        </w:rPr>
      </w:pPr>
      <w:r w:rsidRPr="006D7DCA">
        <w:rPr>
          <w:rFonts w:ascii="Times New Roman" w:hAnsi="Times New Roman" w:cs="Times New Roman"/>
          <w:sz w:val="22"/>
          <w:szCs w:val="22"/>
        </w:rPr>
        <w:t>En este marco, la presente investigación tiene como objetivo analizar la asociación entre el estrés, la ansiedad y la depresión y diversos hábitos de vida, así como con las estrategias de afrontamiento, el compromiso académico y la procrastinación en estudiantado universitario que cursa sus estudios en línea. Desde una perspectiva integradora, este enfoque permite examinar de manera conjunta la asociación entre variables de salud mental, estilo de vida y comportamiento académico en un entorno universitario virtual consolidado. Se plantean como hipótesis que niveles más elevados de estrés, ansiedad y depresión se asociarán con estilos de vida menos saludables, una peor calidad del sueño, menor actividad física, mayor tiempo de exposición a pantallas, un menor compromiso académico y mayores niveles de procrastinación y burnout. De este modo, el estudio pretende aportar evidencia empírica relevante que permita identificar factores asociados al bienestar psicológico y al rendimiento académico, contribuyendo al diseño de intervenciones informadas, eficaces y sostenibles en el ámbito de la educación superior en línea.</w:t>
      </w:r>
    </w:p>
    <w:p w14:paraId="30DF5336" w14:textId="203E6137" w:rsidR="00171BC2" w:rsidRPr="006D7DCA" w:rsidRDefault="00171BC2" w:rsidP="002C61DC">
      <w:pPr>
        <w:spacing w:before="240" w:line="240" w:lineRule="auto"/>
        <w:jc w:val="center"/>
        <w:rPr>
          <w:rFonts w:ascii="Times New Roman" w:eastAsia="Calibri" w:hAnsi="Times New Roman" w:cs="Times New Roman"/>
          <w:b/>
          <w:bCs/>
          <w:kern w:val="0"/>
          <w:sz w:val="22"/>
          <w:szCs w:val="22"/>
          <w14:ligatures w14:val="none"/>
        </w:rPr>
      </w:pPr>
      <w:r w:rsidRPr="006D7DCA">
        <w:rPr>
          <w:rFonts w:ascii="Times New Roman" w:eastAsia="Calibri" w:hAnsi="Times New Roman" w:cs="Times New Roman"/>
          <w:b/>
          <w:bCs/>
          <w:kern w:val="0"/>
          <w:sz w:val="22"/>
          <w:szCs w:val="22"/>
          <w14:ligatures w14:val="none"/>
        </w:rPr>
        <w:t>MATERIAL Y MÉTODOS</w:t>
      </w:r>
    </w:p>
    <w:p w14:paraId="02880E32" w14:textId="18F8CD36" w:rsidR="00171BC2" w:rsidRPr="006D7DCA" w:rsidRDefault="006734DA" w:rsidP="006734DA">
      <w:pPr>
        <w:spacing w:before="240" w:line="240" w:lineRule="auto"/>
        <w:jc w:val="both"/>
        <w:rPr>
          <w:rFonts w:ascii="Times New Roman" w:eastAsia="Calibri" w:hAnsi="Times New Roman" w:cs="Times New Roman"/>
          <w:b/>
          <w:bCs/>
          <w:kern w:val="0"/>
          <w:sz w:val="22"/>
          <w:szCs w:val="22"/>
          <w14:ligatures w14:val="none"/>
        </w:rPr>
      </w:pPr>
      <w:r w:rsidRPr="006D7DCA">
        <w:rPr>
          <w:rFonts w:ascii="Times New Roman" w:eastAsia="Calibri" w:hAnsi="Times New Roman" w:cs="Times New Roman"/>
          <w:b/>
          <w:bCs/>
          <w:kern w:val="0"/>
          <w:sz w:val="22"/>
          <w:szCs w:val="22"/>
          <w14:ligatures w14:val="none"/>
        </w:rPr>
        <w:t>Diseño de estudio y participantes</w:t>
      </w:r>
    </w:p>
    <w:p w14:paraId="0049B95A" w14:textId="7AEAC887" w:rsidR="00054945" w:rsidRPr="006D7DCA" w:rsidRDefault="00D605FC" w:rsidP="00933318">
      <w:pPr>
        <w:spacing w:before="240" w:line="360" w:lineRule="auto"/>
        <w:jc w:val="both"/>
        <w:rPr>
          <w:rFonts w:ascii="Times New Roman" w:eastAsia="Calibri" w:hAnsi="Times New Roman" w:cs="Times New Roman"/>
          <w:bCs/>
          <w:kern w:val="0"/>
          <w:sz w:val="22"/>
          <w:szCs w:val="22"/>
          <w14:ligatures w14:val="none"/>
        </w:rPr>
      </w:pPr>
      <w:r w:rsidRPr="006D7DCA">
        <w:rPr>
          <w:rFonts w:ascii="Times New Roman" w:eastAsia="Calibri" w:hAnsi="Times New Roman" w:cs="Times New Roman"/>
          <w:bCs/>
          <w:kern w:val="0"/>
          <w:sz w:val="22"/>
          <w:szCs w:val="22"/>
          <w14:ligatures w14:val="none"/>
        </w:rPr>
        <w:t>La presente investigación se desarrolló mediante un diseño transversal. La población diana estuvo constituida por estudiantado universitario matriculado en titulaciones impartidas íntegramente en modalidad en línea en una universidad española durante el curso académico 2023-2024</w:t>
      </w:r>
      <w:r w:rsidR="00933318" w:rsidRPr="006D7DCA">
        <w:rPr>
          <w:rFonts w:ascii="Times New Roman" w:eastAsia="Calibri" w:hAnsi="Times New Roman" w:cs="Times New Roman"/>
          <w:bCs/>
          <w:kern w:val="0"/>
          <w:sz w:val="22"/>
          <w:szCs w:val="22"/>
          <w14:ligatures w14:val="none"/>
        </w:rPr>
        <w:t>. No obstante, debido a las características organizativas propias de la educación superior en línea, caracterizada por la coexistencia de múltiples periodos de matriculación y calendarios académicos flexibles, no fue posible establecer un marco poblacional cerrado ni estimar con precisión el número total de estudiantes activos durante el periodo de recogida de datos. En consecuencia, no resultó metodológicamente aplicable el cálculo de una tasa de respuesta convencional basada en la población total invitada.</w:t>
      </w:r>
      <w:r w:rsidR="00445E88" w:rsidRPr="006D7DCA">
        <w:rPr>
          <w:rFonts w:ascii="Times New Roman" w:eastAsia="Calibri" w:hAnsi="Times New Roman" w:cs="Times New Roman"/>
          <w:bCs/>
          <w:kern w:val="0"/>
          <w:sz w:val="22"/>
          <w:szCs w:val="22"/>
          <w14:ligatures w14:val="none"/>
        </w:rPr>
        <w:t xml:space="preserve"> </w:t>
      </w:r>
      <w:r w:rsidR="00933318" w:rsidRPr="006D7DCA">
        <w:rPr>
          <w:rFonts w:ascii="Times New Roman" w:eastAsia="Calibri" w:hAnsi="Times New Roman" w:cs="Times New Roman"/>
          <w:bCs/>
          <w:kern w:val="0"/>
          <w:sz w:val="22"/>
          <w:szCs w:val="22"/>
          <w14:ligatures w14:val="none"/>
        </w:rPr>
        <w:t xml:space="preserve">Se empleó un muestreo no probabilístico por conveniencia, difundiendo la invitación a participar a través de los canales académicos institucionales durante el periodo de recogida de datos. Un total de 2.480 estudiantes accedieron al cuestionario en formato digital, de los cuales 2.204 completaron íntegramente los instrumentos, conformando la muestra final analizada. La muestra estuvo compuesta por 1.660 mujeres y 544 hombres, con una edad media de 34,66 años (DE = 9,15) y un rango de edad comprendido entre los 18 y los 73 años. </w:t>
      </w:r>
    </w:p>
    <w:p w14:paraId="2BC68FF7" w14:textId="321B20DB" w:rsidR="00171BC2" w:rsidRPr="006D7DCA" w:rsidRDefault="00171BC2" w:rsidP="006734DA">
      <w:pPr>
        <w:autoSpaceDE w:val="0"/>
        <w:autoSpaceDN w:val="0"/>
        <w:adjustRightInd w:val="0"/>
        <w:spacing w:before="240" w:line="240" w:lineRule="auto"/>
        <w:jc w:val="both"/>
        <w:rPr>
          <w:rFonts w:ascii="Times New Roman" w:eastAsia="Calibri" w:hAnsi="Times New Roman" w:cs="Times New Roman"/>
          <w:b/>
          <w:kern w:val="0"/>
          <w:sz w:val="22"/>
          <w:szCs w:val="22"/>
          <w14:ligatures w14:val="none"/>
        </w:rPr>
      </w:pPr>
      <w:r w:rsidRPr="006D7DCA">
        <w:rPr>
          <w:rFonts w:ascii="Times New Roman" w:eastAsia="Calibri" w:hAnsi="Times New Roman" w:cs="Times New Roman"/>
          <w:b/>
          <w:kern w:val="0"/>
          <w:sz w:val="22"/>
          <w:szCs w:val="22"/>
          <w14:ligatures w14:val="none"/>
        </w:rPr>
        <w:t>I</w:t>
      </w:r>
      <w:r w:rsidR="002C61DC" w:rsidRPr="006D7DCA">
        <w:rPr>
          <w:rFonts w:ascii="Times New Roman" w:eastAsia="Calibri" w:hAnsi="Times New Roman" w:cs="Times New Roman"/>
          <w:b/>
          <w:kern w:val="0"/>
          <w:sz w:val="22"/>
          <w:szCs w:val="22"/>
          <w14:ligatures w14:val="none"/>
        </w:rPr>
        <w:t>nstrumentos</w:t>
      </w:r>
    </w:p>
    <w:p w14:paraId="591FD2BE" w14:textId="147AFA7C" w:rsidR="007B2C8A" w:rsidRPr="006D7DCA" w:rsidRDefault="007B2C8A" w:rsidP="006734DA">
      <w:pPr>
        <w:autoSpaceDE w:val="0"/>
        <w:autoSpaceDN w:val="0"/>
        <w:adjustRightInd w:val="0"/>
        <w:spacing w:before="240" w:line="240" w:lineRule="auto"/>
        <w:jc w:val="both"/>
        <w:rPr>
          <w:rFonts w:ascii="Times New Roman" w:eastAsia="Calibri" w:hAnsi="Times New Roman" w:cs="Times New Roman"/>
          <w:i/>
          <w:iCs/>
          <w:kern w:val="0"/>
          <w:sz w:val="22"/>
          <w:szCs w:val="22"/>
          <w14:ligatures w14:val="none"/>
        </w:rPr>
      </w:pPr>
      <w:r w:rsidRPr="006D7DCA">
        <w:rPr>
          <w:rFonts w:ascii="Times New Roman" w:eastAsia="Calibri" w:hAnsi="Times New Roman" w:cs="Times New Roman"/>
          <w:i/>
          <w:iCs/>
          <w:kern w:val="0"/>
          <w:sz w:val="22"/>
          <w:szCs w:val="22"/>
          <w14:ligatures w14:val="none"/>
        </w:rPr>
        <w:t>Trastornos mentales</w:t>
      </w:r>
    </w:p>
    <w:p w14:paraId="0EDA0E8A" w14:textId="23EB49E5" w:rsidR="007B2C8A" w:rsidRPr="006D7DCA" w:rsidRDefault="00570BD1" w:rsidP="006734DA">
      <w:pPr>
        <w:autoSpaceDE w:val="0"/>
        <w:autoSpaceDN w:val="0"/>
        <w:adjustRightInd w:val="0"/>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 xml:space="preserve">Para evaluar los trastornos mentales en este estudio, se empleó la escala </w:t>
      </w:r>
      <w:proofErr w:type="spellStart"/>
      <w:r w:rsidRPr="006D7DCA">
        <w:rPr>
          <w:rFonts w:ascii="Times New Roman" w:eastAsia="Calibri" w:hAnsi="Times New Roman" w:cs="Times New Roman"/>
          <w:kern w:val="0"/>
          <w:sz w:val="22"/>
          <w:szCs w:val="22"/>
          <w14:ligatures w14:val="none"/>
        </w:rPr>
        <w:t>Depression</w:t>
      </w:r>
      <w:proofErr w:type="spellEnd"/>
      <w:r w:rsidRPr="006D7DCA">
        <w:rPr>
          <w:rFonts w:ascii="Times New Roman" w:eastAsia="Calibri" w:hAnsi="Times New Roman" w:cs="Times New Roman"/>
          <w:kern w:val="0"/>
          <w:sz w:val="22"/>
          <w:szCs w:val="22"/>
          <w14:ligatures w14:val="none"/>
        </w:rPr>
        <w:t xml:space="preserve">, </w:t>
      </w:r>
      <w:proofErr w:type="spellStart"/>
      <w:r w:rsidRPr="006D7DCA">
        <w:rPr>
          <w:rFonts w:ascii="Times New Roman" w:eastAsia="Calibri" w:hAnsi="Times New Roman" w:cs="Times New Roman"/>
          <w:kern w:val="0"/>
          <w:sz w:val="22"/>
          <w:szCs w:val="22"/>
          <w14:ligatures w14:val="none"/>
        </w:rPr>
        <w:t>Anxiety</w:t>
      </w:r>
      <w:proofErr w:type="spellEnd"/>
      <w:r w:rsidRPr="006D7DCA">
        <w:rPr>
          <w:rFonts w:ascii="Times New Roman" w:eastAsia="Calibri" w:hAnsi="Times New Roman" w:cs="Times New Roman"/>
          <w:kern w:val="0"/>
          <w:sz w:val="22"/>
          <w:szCs w:val="22"/>
          <w14:ligatures w14:val="none"/>
        </w:rPr>
        <w:t xml:space="preserve"> and Stress Scale (DASS-21), </w:t>
      </w:r>
      <w:r w:rsidR="00D905C6" w:rsidRPr="006D7DCA">
        <w:rPr>
          <w:rFonts w:ascii="Times New Roman" w:eastAsia="Calibri" w:hAnsi="Times New Roman" w:cs="Times New Roman"/>
          <w:kern w:val="0"/>
          <w:sz w:val="22"/>
          <w:szCs w:val="22"/>
          <w14:ligatures w14:val="none"/>
        </w:rPr>
        <w:t>validada para estudiantado universitario español</w:t>
      </w:r>
      <w:r w:rsidRPr="006D7DCA">
        <w:rPr>
          <w:rFonts w:ascii="Times New Roman" w:eastAsia="Calibri" w:hAnsi="Times New Roman" w:cs="Times New Roman"/>
          <w:kern w:val="0"/>
          <w:sz w:val="22"/>
          <w:szCs w:val="22"/>
          <w14:ligatures w14:val="none"/>
        </w:rPr>
        <w:t xml:space="preserve"> por Fonseca-Pedrero et al. (2010), con un coeficiente de fiabilidad de Cronbach alfa de 0.90. Este cuestionario evalúa el estado emocional negativo experimentado durante la última semana mediante 21 ítems organizados en una escala Likert de cuatro puntos, que van desde cero ("no me ha ocurrido") hasta tres ("me ha ocurrido mucho o la mayor parte del tiempo"). El instrumento está compuesto por tres subescalas, cada una integrada por siete ítems, diseñadas para medir las dimensiones de depresión, ansiedad y estrés. Para garantizar la comparabilidad de los resultados obtenidos con el DASS-21 respecto a su versión extendida, el DASS-42, la suma de las puntuaciones de cada subescala se multiplica por dos, lo que permite alcanzar una puntuación máxima de 42 puntos en cada dimensión. </w:t>
      </w:r>
      <w:r w:rsidR="00D905C6" w:rsidRPr="006D7DCA">
        <w:rPr>
          <w:rFonts w:ascii="Times New Roman" w:eastAsia="Calibri" w:hAnsi="Times New Roman" w:cs="Times New Roman"/>
          <w:kern w:val="0"/>
          <w:sz w:val="22"/>
          <w:szCs w:val="22"/>
          <w14:ligatures w14:val="none"/>
        </w:rPr>
        <w:t xml:space="preserve"> </w:t>
      </w:r>
      <w:r w:rsidRPr="006D7DCA">
        <w:rPr>
          <w:rFonts w:ascii="Times New Roman" w:eastAsia="Calibri" w:hAnsi="Times New Roman" w:cs="Times New Roman"/>
          <w:kern w:val="0"/>
          <w:sz w:val="22"/>
          <w:szCs w:val="22"/>
          <w14:ligatures w14:val="none"/>
        </w:rPr>
        <w:t xml:space="preserve">La clasificación de </w:t>
      </w:r>
      <w:r w:rsidR="00D905C6" w:rsidRPr="006D7DCA">
        <w:rPr>
          <w:rFonts w:ascii="Times New Roman" w:eastAsia="Calibri" w:hAnsi="Times New Roman" w:cs="Times New Roman"/>
          <w:kern w:val="0"/>
          <w:sz w:val="22"/>
          <w:szCs w:val="22"/>
          <w14:ligatures w14:val="none"/>
        </w:rPr>
        <w:t>la muestra</w:t>
      </w:r>
      <w:r w:rsidRPr="006D7DCA">
        <w:rPr>
          <w:rFonts w:ascii="Times New Roman" w:eastAsia="Calibri" w:hAnsi="Times New Roman" w:cs="Times New Roman"/>
          <w:kern w:val="0"/>
          <w:sz w:val="22"/>
          <w:szCs w:val="22"/>
          <w14:ligatures w14:val="none"/>
        </w:rPr>
        <w:t xml:space="preserve"> se realizó con base en las puntuaciones de las tres dimensiones evaluadas. En la dimensión de ansiedad, las puntuaciones de 0 a 7 se clasificaron como normales, de 8 a 9 como leves, de 10 a 14 como moderadas, de 15 a 19 como severas y mayores de 19 como extremadamente severas. Para la depresión, las puntuaciones de 0 a 9 se consideraron normales, de 10 a 13 leves, de 14 a 20 moderadas, de 21 a 27 severas y superiores a 27 como extremadamente severas. Por último, en la dimensión de estrés, las puntuaciones entre 0 y 14 se consideraron normales, de 15 a 18 leves, de 19 a 25 moderadas, de 26 a 33 severas y mayores de 33 como extremadamente severas. Para el análisis de los datos, se llevó a cabo una reclasificación de las dimensiones originales. Las categorías correspondientes a los niveles leve y moderado se agruparon en una única categoría denominada leve/moderado, mientras que las categorías severo y extremadamente severo se combinaron bajo la denominación severo/extremadamente severo. Esta reorganización permitió la obtención de tres categorías principales: normal, leve/moderado y severo/extremadamente severo</w:t>
      </w:r>
    </w:p>
    <w:p w14:paraId="159FCF0C" w14:textId="77777777" w:rsidR="005F5B66" w:rsidRPr="006D7DCA" w:rsidRDefault="005F5B66" w:rsidP="005F5B66">
      <w:pPr>
        <w:autoSpaceDE w:val="0"/>
        <w:autoSpaceDN w:val="0"/>
        <w:adjustRightInd w:val="0"/>
        <w:spacing w:before="240" w:line="240" w:lineRule="auto"/>
        <w:jc w:val="both"/>
        <w:rPr>
          <w:rFonts w:ascii="Times New Roman" w:eastAsia="Calibri" w:hAnsi="Times New Roman" w:cs="Times New Roman"/>
          <w:bCs/>
          <w:i/>
          <w:iCs/>
          <w:kern w:val="0"/>
          <w:sz w:val="22"/>
          <w:szCs w:val="22"/>
          <w14:ligatures w14:val="none"/>
        </w:rPr>
      </w:pPr>
      <w:r w:rsidRPr="006D7DCA">
        <w:rPr>
          <w:rFonts w:ascii="Times New Roman" w:eastAsia="Calibri" w:hAnsi="Times New Roman" w:cs="Times New Roman"/>
          <w:bCs/>
          <w:i/>
          <w:iCs/>
          <w:kern w:val="0"/>
          <w:sz w:val="22"/>
          <w:szCs w:val="22"/>
          <w14:ligatures w14:val="none"/>
        </w:rPr>
        <w:t>Tiempo de pantalla</w:t>
      </w:r>
    </w:p>
    <w:p w14:paraId="2ED6AEA4" w14:textId="698961E7" w:rsidR="005F5B66" w:rsidRPr="006D7DCA" w:rsidRDefault="005F5B66" w:rsidP="005F5B66">
      <w:pPr>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Para el análisis del tiempo de pantallas, se empleó el cuestionario diseñado por Vizcaíno et al. (2019), cuyo objetivo es cuantificar las distintas formas de uso del tiempo de pantalla en</w:t>
      </w:r>
      <w:r w:rsidR="00D905C6" w:rsidRPr="006D7DCA">
        <w:rPr>
          <w:rFonts w:ascii="Times New Roman" w:eastAsia="Calibri" w:hAnsi="Times New Roman" w:cs="Times New Roman"/>
          <w:kern w:val="0"/>
          <w:sz w:val="22"/>
          <w:szCs w:val="22"/>
          <w14:ligatures w14:val="none"/>
        </w:rPr>
        <w:t xml:space="preserve"> población</w:t>
      </w:r>
      <w:r w:rsidRPr="006D7DCA">
        <w:rPr>
          <w:rFonts w:ascii="Times New Roman" w:eastAsia="Calibri" w:hAnsi="Times New Roman" w:cs="Times New Roman"/>
          <w:kern w:val="0"/>
          <w:sz w:val="22"/>
          <w:szCs w:val="22"/>
          <w14:ligatures w14:val="none"/>
        </w:rPr>
        <w:t xml:space="preserve"> adult</w:t>
      </w:r>
      <w:r w:rsidR="00D905C6" w:rsidRPr="006D7DCA">
        <w:rPr>
          <w:rFonts w:ascii="Times New Roman" w:eastAsia="Calibri" w:hAnsi="Times New Roman" w:cs="Times New Roman"/>
          <w:kern w:val="0"/>
          <w:sz w:val="22"/>
          <w:szCs w:val="22"/>
          <w14:ligatures w14:val="none"/>
        </w:rPr>
        <w:t>a</w:t>
      </w:r>
      <w:r w:rsidRPr="006D7DCA">
        <w:rPr>
          <w:rFonts w:ascii="Times New Roman" w:eastAsia="Calibri" w:hAnsi="Times New Roman" w:cs="Times New Roman"/>
          <w:kern w:val="0"/>
          <w:sz w:val="22"/>
          <w:szCs w:val="22"/>
          <w14:ligatures w14:val="none"/>
        </w:rPr>
        <w:t xml:space="preserve"> (ICC = .50-.90; p &lt; </w:t>
      </w:r>
      <w:r w:rsidR="000E6BF7" w:rsidRPr="006D7DCA">
        <w:rPr>
          <w:rFonts w:ascii="Times New Roman" w:eastAsia="Calibri" w:hAnsi="Times New Roman" w:cs="Times New Roman"/>
          <w:kern w:val="0"/>
          <w:sz w:val="22"/>
          <w:szCs w:val="22"/>
          <w14:ligatures w14:val="none"/>
        </w:rPr>
        <w:t>0</w:t>
      </w:r>
      <w:r w:rsidRPr="006D7DCA">
        <w:rPr>
          <w:rFonts w:ascii="Times New Roman" w:eastAsia="Calibri" w:hAnsi="Times New Roman" w:cs="Times New Roman"/>
          <w:kern w:val="0"/>
          <w:sz w:val="22"/>
          <w:szCs w:val="22"/>
          <w14:ligatures w14:val="none"/>
        </w:rPr>
        <w:t>.001). Este cuestionario consta de 18 ítems que permiten medir el uso promedio de dispositivos con pantalla, agrupados en cinco categorías: televisión, dispositivos conectados a la televisión, ordenador portátil/PC, teléfono inteligente y tableta. Los resultados del cuestionario se expresan en minutos por día, calculados mediante la suma del tiempo reportado para cada dispositivo en los tres periodos evaluados y ajustados a un promedio diario. Este enfoque permite obtener una medida precisa y estandarizada del tiempo de uso de pantallas.</w:t>
      </w:r>
    </w:p>
    <w:p w14:paraId="032DBD4C" w14:textId="77777777" w:rsidR="00715734" w:rsidRPr="006D7DCA" w:rsidRDefault="00715734" w:rsidP="00715734">
      <w:pPr>
        <w:autoSpaceDE w:val="0"/>
        <w:autoSpaceDN w:val="0"/>
        <w:adjustRightInd w:val="0"/>
        <w:spacing w:before="240" w:line="240" w:lineRule="auto"/>
        <w:jc w:val="both"/>
        <w:rPr>
          <w:rFonts w:ascii="Times New Roman" w:eastAsia="Calibri" w:hAnsi="Times New Roman" w:cs="Times New Roman"/>
          <w:bCs/>
          <w:i/>
          <w:iCs/>
          <w:kern w:val="0"/>
          <w:sz w:val="22"/>
          <w:szCs w:val="22"/>
          <w14:ligatures w14:val="none"/>
        </w:rPr>
      </w:pPr>
      <w:r w:rsidRPr="006D7DCA">
        <w:rPr>
          <w:rFonts w:ascii="Times New Roman" w:eastAsia="Calibri" w:hAnsi="Times New Roman" w:cs="Times New Roman"/>
          <w:bCs/>
          <w:i/>
          <w:iCs/>
          <w:kern w:val="0"/>
          <w:sz w:val="22"/>
          <w:szCs w:val="22"/>
          <w14:ligatures w14:val="none"/>
        </w:rPr>
        <w:t>Actividad física</w:t>
      </w:r>
    </w:p>
    <w:p w14:paraId="0CC3C363" w14:textId="549B6BF4" w:rsidR="00715734" w:rsidRPr="006D7DCA" w:rsidRDefault="00715734" w:rsidP="00715734">
      <w:pPr>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 xml:space="preserve">La valoración de los niveles de práctica de actividad física se llevó a cabo mediante la versión española del International </w:t>
      </w:r>
      <w:proofErr w:type="spellStart"/>
      <w:r w:rsidRPr="006D7DCA">
        <w:rPr>
          <w:rFonts w:ascii="Times New Roman" w:eastAsia="Calibri" w:hAnsi="Times New Roman" w:cs="Times New Roman"/>
          <w:kern w:val="0"/>
          <w:sz w:val="22"/>
          <w:szCs w:val="22"/>
          <w14:ligatures w14:val="none"/>
        </w:rPr>
        <w:t>Physical</w:t>
      </w:r>
      <w:proofErr w:type="spellEnd"/>
      <w:r w:rsidRPr="006D7DCA">
        <w:rPr>
          <w:rFonts w:ascii="Times New Roman" w:eastAsia="Calibri" w:hAnsi="Times New Roman" w:cs="Times New Roman"/>
          <w:kern w:val="0"/>
          <w:sz w:val="22"/>
          <w:szCs w:val="22"/>
          <w14:ligatures w14:val="none"/>
        </w:rPr>
        <w:t xml:space="preserve"> </w:t>
      </w:r>
      <w:proofErr w:type="spellStart"/>
      <w:r w:rsidRPr="006D7DCA">
        <w:rPr>
          <w:rFonts w:ascii="Times New Roman" w:eastAsia="Calibri" w:hAnsi="Times New Roman" w:cs="Times New Roman"/>
          <w:kern w:val="0"/>
          <w:sz w:val="22"/>
          <w:szCs w:val="22"/>
          <w14:ligatures w14:val="none"/>
        </w:rPr>
        <w:t>Activity</w:t>
      </w:r>
      <w:proofErr w:type="spellEnd"/>
      <w:r w:rsidRPr="006D7DCA">
        <w:rPr>
          <w:rFonts w:ascii="Times New Roman" w:eastAsia="Calibri" w:hAnsi="Times New Roman" w:cs="Times New Roman"/>
          <w:kern w:val="0"/>
          <w:sz w:val="22"/>
          <w:szCs w:val="22"/>
          <w14:ligatures w14:val="none"/>
        </w:rPr>
        <w:t xml:space="preserve"> </w:t>
      </w:r>
      <w:proofErr w:type="spellStart"/>
      <w:r w:rsidRPr="006D7DCA">
        <w:rPr>
          <w:rFonts w:ascii="Times New Roman" w:eastAsia="Calibri" w:hAnsi="Times New Roman" w:cs="Times New Roman"/>
          <w:kern w:val="0"/>
          <w:sz w:val="22"/>
          <w:szCs w:val="22"/>
          <w14:ligatures w14:val="none"/>
        </w:rPr>
        <w:t>Questionnaire</w:t>
      </w:r>
      <w:proofErr w:type="spellEnd"/>
      <w:r w:rsidRPr="006D7DCA">
        <w:rPr>
          <w:rFonts w:ascii="Times New Roman" w:eastAsia="Calibri" w:hAnsi="Times New Roman" w:cs="Times New Roman"/>
          <w:kern w:val="0"/>
          <w:sz w:val="22"/>
          <w:szCs w:val="22"/>
          <w14:ligatures w14:val="none"/>
        </w:rPr>
        <w:t xml:space="preserve">-Short Form (IPAQ-SF), validado en </w:t>
      </w:r>
      <w:r w:rsidR="00D905C6" w:rsidRPr="006D7DCA">
        <w:rPr>
          <w:rFonts w:ascii="Times New Roman" w:eastAsia="Calibri" w:hAnsi="Times New Roman" w:cs="Times New Roman"/>
          <w:kern w:val="0"/>
          <w:sz w:val="22"/>
          <w:szCs w:val="22"/>
          <w14:ligatures w14:val="none"/>
        </w:rPr>
        <w:t>estudiantado universitario</w:t>
      </w:r>
      <w:r w:rsidRPr="006D7DCA">
        <w:rPr>
          <w:rFonts w:ascii="Times New Roman" w:eastAsia="Calibri" w:hAnsi="Times New Roman" w:cs="Times New Roman"/>
          <w:kern w:val="0"/>
          <w:sz w:val="22"/>
          <w:szCs w:val="22"/>
          <w14:ligatures w14:val="none"/>
        </w:rPr>
        <w:t xml:space="preserve"> español por Rodríguez-Muñoz et al. (2017). El IPAQ-SF es un instrumento de autoinforme que registra el número de días por semana y los minutos por día dedicados a la actividad física en cuatro niveles de intensidad: sedentarismo, caminar, intensidad moderada (p. ej., ciclismo recreativo) e intensidad vigorosa (p. ej., correr o realizar aeróbicos). La actividad física semanal total se expresa en términos de gasto energético metabólico (MET) por semana, y se calcula de la siguiente manera: MET caminando = 3</w:t>
      </w:r>
      <w:r w:rsidR="000E6BF7" w:rsidRPr="006D7DCA">
        <w:rPr>
          <w:rFonts w:ascii="Times New Roman" w:eastAsia="Calibri" w:hAnsi="Times New Roman" w:cs="Times New Roman"/>
          <w:kern w:val="0"/>
          <w:sz w:val="22"/>
          <w:szCs w:val="22"/>
          <w14:ligatures w14:val="none"/>
        </w:rPr>
        <w:t>.</w:t>
      </w:r>
      <w:r w:rsidRPr="006D7DCA">
        <w:rPr>
          <w:rFonts w:ascii="Times New Roman" w:eastAsia="Calibri" w:hAnsi="Times New Roman" w:cs="Times New Roman"/>
          <w:kern w:val="0"/>
          <w:sz w:val="22"/>
          <w:szCs w:val="22"/>
          <w14:ligatures w14:val="none"/>
        </w:rPr>
        <w:t>3 × (minutos caminando) × (días caminando en tiempo libre); MET moderados = 4</w:t>
      </w:r>
      <w:r w:rsidR="000E6BF7" w:rsidRPr="006D7DCA">
        <w:rPr>
          <w:rFonts w:ascii="Times New Roman" w:eastAsia="Calibri" w:hAnsi="Times New Roman" w:cs="Times New Roman"/>
          <w:kern w:val="0"/>
          <w:sz w:val="22"/>
          <w:szCs w:val="22"/>
          <w14:ligatures w14:val="none"/>
        </w:rPr>
        <w:t>.</w:t>
      </w:r>
      <w:r w:rsidRPr="006D7DCA">
        <w:rPr>
          <w:rFonts w:ascii="Times New Roman" w:eastAsia="Calibri" w:hAnsi="Times New Roman" w:cs="Times New Roman"/>
          <w:kern w:val="0"/>
          <w:sz w:val="22"/>
          <w:szCs w:val="22"/>
          <w14:ligatures w14:val="none"/>
        </w:rPr>
        <w:t>0 × (minutos de actividad de intensidad moderada) × (días de actividad moderada en tiempo libre); MET vigorosos = 8</w:t>
      </w:r>
      <w:r w:rsidR="000E6BF7" w:rsidRPr="006D7DCA">
        <w:rPr>
          <w:rFonts w:ascii="Times New Roman" w:eastAsia="Calibri" w:hAnsi="Times New Roman" w:cs="Times New Roman"/>
          <w:kern w:val="0"/>
          <w:sz w:val="22"/>
          <w:szCs w:val="22"/>
          <w14:ligatures w14:val="none"/>
        </w:rPr>
        <w:t>.</w:t>
      </w:r>
      <w:r w:rsidRPr="006D7DCA">
        <w:rPr>
          <w:rFonts w:ascii="Times New Roman" w:eastAsia="Calibri" w:hAnsi="Times New Roman" w:cs="Times New Roman"/>
          <w:kern w:val="0"/>
          <w:sz w:val="22"/>
          <w:szCs w:val="22"/>
          <w14:ligatures w14:val="none"/>
        </w:rPr>
        <w:t>0 × (minutos de actividad de intensidad vigorosa) × (días de actividad vigorosa en tiempo libre). Los MET totales por semana se estiman como la suma de los MET caminando, MET moderados y MET vigorosos.</w:t>
      </w:r>
    </w:p>
    <w:p w14:paraId="72C3113C" w14:textId="77777777" w:rsidR="00715734" w:rsidRPr="006D7DCA" w:rsidRDefault="00715734" w:rsidP="00715734">
      <w:pPr>
        <w:spacing w:before="240" w:line="360" w:lineRule="auto"/>
        <w:jc w:val="both"/>
        <w:rPr>
          <w:rFonts w:ascii="Times New Roman" w:eastAsia="Calibri" w:hAnsi="Times New Roman" w:cs="Times New Roman"/>
          <w:i/>
          <w:iCs/>
          <w:kern w:val="0"/>
          <w:sz w:val="22"/>
          <w:szCs w:val="22"/>
          <w14:ligatures w14:val="none"/>
        </w:rPr>
      </w:pPr>
      <w:r w:rsidRPr="006D7DCA">
        <w:rPr>
          <w:rFonts w:ascii="Times New Roman" w:eastAsia="Calibri" w:hAnsi="Times New Roman" w:cs="Times New Roman"/>
          <w:i/>
          <w:iCs/>
          <w:kern w:val="0"/>
          <w:sz w:val="22"/>
          <w:szCs w:val="22"/>
          <w14:ligatures w14:val="none"/>
        </w:rPr>
        <w:t>Adherencia a Dieta Mediterránea</w:t>
      </w:r>
    </w:p>
    <w:p w14:paraId="40791A24" w14:textId="77777777" w:rsidR="00715734" w:rsidRPr="006D7DCA" w:rsidRDefault="00715734" w:rsidP="00715734">
      <w:pPr>
        <w:autoSpaceDE w:val="0"/>
        <w:autoSpaceDN w:val="0"/>
        <w:adjustRightInd w:val="0"/>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 xml:space="preserve">La adherencia a la dieta mediterránea se evaluó mediante el cuestionario </w:t>
      </w:r>
      <w:proofErr w:type="spellStart"/>
      <w:r w:rsidRPr="006D7DCA">
        <w:rPr>
          <w:rFonts w:ascii="Times New Roman" w:eastAsia="Calibri" w:hAnsi="Times New Roman" w:cs="Times New Roman"/>
          <w:kern w:val="0"/>
          <w:sz w:val="22"/>
          <w:szCs w:val="22"/>
          <w14:ligatures w14:val="none"/>
        </w:rPr>
        <w:t>Mediterranean</w:t>
      </w:r>
      <w:proofErr w:type="spellEnd"/>
      <w:r w:rsidRPr="006D7DCA">
        <w:rPr>
          <w:rFonts w:ascii="Times New Roman" w:eastAsia="Calibri" w:hAnsi="Times New Roman" w:cs="Times New Roman"/>
          <w:kern w:val="0"/>
          <w:sz w:val="22"/>
          <w:szCs w:val="22"/>
          <w14:ligatures w14:val="none"/>
        </w:rPr>
        <w:t xml:space="preserve"> </w:t>
      </w:r>
      <w:proofErr w:type="spellStart"/>
      <w:r w:rsidRPr="006D7DCA">
        <w:rPr>
          <w:rFonts w:ascii="Times New Roman" w:eastAsia="Calibri" w:hAnsi="Times New Roman" w:cs="Times New Roman"/>
          <w:kern w:val="0"/>
          <w:sz w:val="22"/>
          <w:szCs w:val="22"/>
          <w14:ligatures w14:val="none"/>
        </w:rPr>
        <w:t>Diet</w:t>
      </w:r>
      <w:proofErr w:type="spellEnd"/>
      <w:r w:rsidRPr="006D7DCA">
        <w:rPr>
          <w:rFonts w:ascii="Times New Roman" w:eastAsia="Calibri" w:hAnsi="Times New Roman" w:cs="Times New Roman"/>
          <w:kern w:val="0"/>
          <w:sz w:val="22"/>
          <w:szCs w:val="22"/>
          <w14:ligatures w14:val="none"/>
        </w:rPr>
        <w:t xml:space="preserve"> </w:t>
      </w:r>
      <w:proofErr w:type="spellStart"/>
      <w:r w:rsidRPr="006D7DCA">
        <w:rPr>
          <w:rFonts w:ascii="Times New Roman" w:eastAsia="Calibri" w:hAnsi="Times New Roman" w:cs="Times New Roman"/>
          <w:kern w:val="0"/>
          <w:sz w:val="22"/>
          <w:szCs w:val="22"/>
          <w14:ligatures w14:val="none"/>
        </w:rPr>
        <w:t>Adherence</w:t>
      </w:r>
      <w:proofErr w:type="spellEnd"/>
      <w:r w:rsidRPr="006D7DCA">
        <w:rPr>
          <w:rFonts w:ascii="Times New Roman" w:eastAsia="Calibri" w:hAnsi="Times New Roman" w:cs="Times New Roman"/>
          <w:kern w:val="0"/>
          <w:sz w:val="22"/>
          <w:szCs w:val="22"/>
          <w14:ligatures w14:val="none"/>
        </w:rPr>
        <w:t xml:space="preserve"> Screener (MEDAS), diseñado y validado en población española por Schröder et al. (2011). Este cuestionario ha demostrado validez en un estudio multicéntrico realizado en siete países europeos, incluido España, mostrando una asociación moderada entre el cuestionario 14-MEDAS y el registro de consumo alimentario (r = 0.573, p &lt; 0.001) según García-Conesa et al. (2020). El cuestionario consta de 14 ítems, de los cuales 12 evalúan la frecuencia de consumo de alimentos característicos de la dieta mediterránea, como aceite de oliva, verduras, frutas, carnes rojas, grasas animales, bebidas carbonatadas, vino tinto, pescados y mariscos, frutos secos, comida comercial y platos tradicionales que incluyen salsa de tomate, ajo, y cebolla. Los otros 2 ítems indagan sobre la grasa utilizada habitualmente para cocinar y el tipo de carne consumida. Cada ítem se puntúa con 0 o 1, generando una puntuación total que varía entre 0 y 14, donde valores más altos indican una mayor adherencia a la dieta mediterránea.</w:t>
      </w:r>
    </w:p>
    <w:p w14:paraId="31D1B910" w14:textId="77777777" w:rsidR="005F3FC9" w:rsidRPr="006D7DCA" w:rsidRDefault="005F3FC9" w:rsidP="005F3FC9">
      <w:pPr>
        <w:autoSpaceDE w:val="0"/>
        <w:autoSpaceDN w:val="0"/>
        <w:adjustRightInd w:val="0"/>
        <w:spacing w:before="240" w:line="240" w:lineRule="auto"/>
        <w:jc w:val="both"/>
        <w:rPr>
          <w:rFonts w:ascii="Times New Roman" w:eastAsia="Calibri" w:hAnsi="Times New Roman" w:cs="Times New Roman"/>
          <w:bCs/>
          <w:i/>
          <w:iCs/>
          <w:kern w:val="0"/>
          <w:sz w:val="22"/>
          <w:szCs w:val="22"/>
          <w14:ligatures w14:val="none"/>
        </w:rPr>
      </w:pPr>
      <w:r w:rsidRPr="006D7DCA">
        <w:rPr>
          <w:rFonts w:ascii="Times New Roman" w:eastAsia="Calibri" w:hAnsi="Times New Roman" w:cs="Times New Roman"/>
          <w:bCs/>
          <w:i/>
          <w:iCs/>
          <w:kern w:val="0"/>
          <w:sz w:val="22"/>
          <w:szCs w:val="22"/>
          <w14:ligatures w14:val="none"/>
        </w:rPr>
        <w:t>Calidad del sueño</w:t>
      </w:r>
    </w:p>
    <w:p w14:paraId="55B55BC6" w14:textId="77777777" w:rsidR="005F3FC9" w:rsidRPr="006D7DCA" w:rsidRDefault="005F3FC9" w:rsidP="005F3FC9">
      <w:pPr>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 xml:space="preserve">Para la evaluación de los hábitos de sueño, se utilizó el cuestionario Pittsburgh Sleep </w:t>
      </w:r>
      <w:proofErr w:type="spellStart"/>
      <w:r w:rsidRPr="006D7DCA">
        <w:rPr>
          <w:rFonts w:ascii="Times New Roman" w:eastAsia="Calibri" w:hAnsi="Times New Roman" w:cs="Times New Roman"/>
          <w:kern w:val="0"/>
          <w:sz w:val="22"/>
          <w:szCs w:val="22"/>
          <w14:ligatures w14:val="none"/>
        </w:rPr>
        <w:t>Quality</w:t>
      </w:r>
      <w:proofErr w:type="spellEnd"/>
      <w:r w:rsidRPr="006D7DCA">
        <w:rPr>
          <w:rFonts w:ascii="Times New Roman" w:eastAsia="Calibri" w:hAnsi="Times New Roman" w:cs="Times New Roman"/>
          <w:kern w:val="0"/>
          <w:sz w:val="22"/>
          <w:szCs w:val="22"/>
          <w14:ligatures w14:val="none"/>
        </w:rPr>
        <w:t xml:space="preserve"> </w:t>
      </w:r>
      <w:proofErr w:type="spellStart"/>
      <w:r w:rsidRPr="006D7DCA">
        <w:rPr>
          <w:rFonts w:ascii="Times New Roman" w:eastAsia="Calibri" w:hAnsi="Times New Roman" w:cs="Times New Roman"/>
          <w:kern w:val="0"/>
          <w:sz w:val="22"/>
          <w:szCs w:val="22"/>
          <w14:ligatures w14:val="none"/>
        </w:rPr>
        <w:t>Index</w:t>
      </w:r>
      <w:proofErr w:type="spellEnd"/>
      <w:r w:rsidRPr="006D7DCA">
        <w:rPr>
          <w:rFonts w:ascii="Times New Roman" w:eastAsia="Calibri" w:hAnsi="Times New Roman" w:cs="Times New Roman"/>
          <w:kern w:val="0"/>
          <w:sz w:val="22"/>
          <w:szCs w:val="22"/>
          <w14:ligatures w14:val="none"/>
        </w:rPr>
        <w:t xml:space="preserve"> (PSQI), validado en población española por Royuela y Macías (1997) (Cronbach α = .81). </w:t>
      </w:r>
      <w:r w:rsidRPr="006D7DCA">
        <w:rPr>
          <w:rFonts w:ascii="Times New Roman" w:hAnsi="Times New Roman" w:cs="Times New Roman"/>
          <w:kern w:val="0"/>
          <w:sz w:val="22"/>
          <w:szCs w:val="22"/>
          <w14:ligatures w14:val="none"/>
        </w:rPr>
        <w:t xml:space="preserve">Este cuestionario mide la calidad del sueño y sus posibles alteraciones clínicas mediante 19 ítems de autoevaluación agrupados en 10 preguntas, organizadas en siete componentes. Los componentes y su número de ítems son los siguientes: calidad subjetiva del sueño (1 ítem), latencia del sueño (2 ítems), duración del sueño (1 ítem), eficiencia del sueño (3 ítems), alteraciones del sueño (9 ítems), uso de medicación para dormir (1 ítem) y disfunción diurna (2 ítems). </w:t>
      </w:r>
      <w:r w:rsidRPr="006D7DCA">
        <w:rPr>
          <w:rFonts w:ascii="Times New Roman" w:eastAsia="Calibri" w:hAnsi="Times New Roman" w:cs="Times New Roman"/>
          <w:kern w:val="0"/>
          <w:sz w:val="22"/>
          <w:szCs w:val="22"/>
          <w14:ligatures w14:val="none"/>
        </w:rPr>
        <w:t xml:space="preserve">Cada componente se puntúa en una escala de 0 a 3, y la suma de todos los componentes genera una puntuación global que varía entre 0 y 21 puntos, donde valores más altos reflejan una peor calidad del sueño. </w:t>
      </w:r>
    </w:p>
    <w:p w14:paraId="00A01F95" w14:textId="77777777" w:rsidR="007B2C8A" w:rsidRPr="006D7DCA" w:rsidRDefault="007B2C8A" w:rsidP="006734DA">
      <w:pPr>
        <w:autoSpaceDE w:val="0"/>
        <w:autoSpaceDN w:val="0"/>
        <w:adjustRightInd w:val="0"/>
        <w:spacing w:before="240" w:line="360" w:lineRule="auto"/>
        <w:jc w:val="both"/>
        <w:rPr>
          <w:rFonts w:ascii="Times New Roman" w:eastAsia="Calibri" w:hAnsi="Times New Roman" w:cs="Times New Roman"/>
          <w:i/>
          <w:iCs/>
          <w:kern w:val="0"/>
          <w:sz w:val="22"/>
          <w:szCs w:val="22"/>
          <w14:ligatures w14:val="none"/>
        </w:rPr>
      </w:pPr>
      <w:proofErr w:type="spellStart"/>
      <w:r w:rsidRPr="006D7DCA">
        <w:rPr>
          <w:rFonts w:ascii="Times New Roman" w:eastAsia="Calibri" w:hAnsi="Times New Roman" w:cs="Times New Roman"/>
          <w:i/>
          <w:iCs/>
          <w:kern w:val="0"/>
          <w:sz w:val="22"/>
          <w:szCs w:val="22"/>
          <w14:ligatures w14:val="none"/>
        </w:rPr>
        <w:t>Engagement</w:t>
      </w:r>
      <w:proofErr w:type="spellEnd"/>
      <w:r w:rsidRPr="006D7DCA">
        <w:rPr>
          <w:rFonts w:ascii="Times New Roman" w:eastAsia="Calibri" w:hAnsi="Times New Roman" w:cs="Times New Roman"/>
          <w:i/>
          <w:iCs/>
          <w:kern w:val="0"/>
          <w:sz w:val="22"/>
          <w:szCs w:val="22"/>
          <w14:ligatures w14:val="none"/>
        </w:rPr>
        <w:t xml:space="preserve"> académico</w:t>
      </w:r>
    </w:p>
    <w:p w14:paraId="3DA81C66" w14:textId="357C0A42" w:rsidR="00570BD1" w:rsidRPr="006D7DCA" w:rsidRDefault="00570BD1" w:rsidP="006734DA">
      <w:pPr>
        <w:autoSpaceDE w:val="0"/>
        <w:autoSpaceDN w:val="0"/>
        <w:adjustRightInd w:val="0"/>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 xml:space="preserve">El compromiso académico fue evaluado utilizando la versión corta de la escala Utrecht Work </w:t>
      </w:r>
      <w:proofErr w:type="spellStart"/>
      <w:r w:rsidRPr="006D7DCA">
        <w:rPr>
          <w:rFonts w:ascii="Times New Roman" w:eastAsia="Calibri" w:hAnsi="Times New Roman" w:cs="Times New Roman"/>
          <w:kern w:val="0"/>
          <w:sz w:val="22"/>
          <w:szCs w:val="22"/>
          <w14:ligatures w14:val="none"/>
        </w:rPr>
        <w:t>Engagement</w:t>
      </w:r>
      <w:proofErr w:type="spellEnd"/>
      <w:r w:rsidRPr="006D7DCA">
        <w:rPr>
          <w:rFonts w:ascii="Times New Roman" w:eastAsia="Calibri" w:hAnsi="Times New Roman" w:cs="Times New Roman"/>
          <w:kern w:val="0"/>
          <w:sz w:val="22"/>
          <w:szCs w:val="22"/>
          <w14:ligatures w14:val="none"/>
        </w:rPr>
        <w:t xml:space="preserve"> Scale-Student (UWES-9S), validada en </w:t>
      </w:r>
      <w:r w:rsidR="00790CCF" w:rsidRPr="006D7DCA">
        <w:rPr>
          <w:rFonts w:ascii="Times New Roman" w:eastAsia="Calibri" w:hAnsi="Times New Roman" w:cs="Times New Roman"/>
          <w:kern w:val="0"/>
          <w:sz w:val="22"/>
          <w:szCs w:val="22"/>
          <w14:ligatures w14:val="none"/>
        </w:rPr>
        <w:t>estudiantado español</w:t>
      </w:r>
      <w:r w:rsidRPr="006D7DCA">
        <w:rPr>
          <w:rFonts w:ascii="Times New Roman" w:eastAsia="Calibri" w:hAnsi="Times New Roman" w:cs="Times New Roman"/>
          <w:kern w:val="0"/>
          <w:sz w:val="22"/>
          <w:szCs w:val="22"/>
          <w14:ligatures w14:val="none"/>
        </w:rPr>
        <w:t xml:space="preserve"> por Serrano et al. (2019)</w:t>
      </w:r>
      <w:r w:rsidR="005375DD" w:rsidRPr="006D7DCA">
        <w:rPr>
          <w:rFonts w:ascii="Times New Roman" w:eastAsia="Calibri" w:hAnsi="Times New Roman" w:cs="Times New Roman"/>
          <w:kern w:val="0"/>
          <w:sz w:val="22"/>
          <w:szCs w:val="22"/>
          <w14:ligatures w14:val="none"/>
        </w:rPr>
        <w:t xml:space="preserve"> (Cronbach α = .91)</w:t>
      </w:r>
      <w:r w:rsidRPr="006D7DCA">
        <w:rPr>
          <w:rFonts w:ascii="Times New Roman" w:eastAsia="Calibri" w:hAnsi="Times New Roman" w:cs="Times New Roman"/>
          <w:kern w:val="0"/>
          <w:sz w:val="22"/>
          <w:szCs w:val="22"/>
          <w14:ligatures w14:val="none"/>
        </w:rPr>
        <w:t xml:space="preserve">. Este instrumento mide el </w:t>
      </w:r>
      <w:proofErr w:type="spellStart"/>
      <w:r w:rsidRPr="006D7DCA">
        <w:rPr>
          <w:rFonts w:ascii="Times New Roman" w:eastAsia="Calibri" w:hAnsi="Times New Roman" w:cs="Times New Roman"/>
          <w:kern w:val="0"/>
          <w:sz w:val="22"/>
          <w:szCs w:val="22"/>
          <w14:ligatures w14:val="none"/>
        </w:rPr>
        <w:t>engagement</w:t>
      </w:r>
      <w:proofErr w:type="spellEnd"/>
      <w:r w:rsidRPr="006D7DCA">
        <w:rPr>
          <w:rFonts w:ascii="Times New Roman" w:eastAsia="Calibri" w:hAnsi="Times New Roman" w:cs="Times New Roman"/>
          <w:kern w:val="0"/>
          <w:sz w:val="22"/>
          <w:szCs w:val="22"/>
          <w14:ligatures w14:val="none"/>
        </w:rPr>
        <w:t xml:space="preserve"> académico mediante nueve ítems organizados en un formato Likert de siete opciones, que varían desde 0 ("Nunca") hasta 6 ("Siempre"). La escala se estructura en tres dimensiones diseñadas para evaluar aspectos específicos del compromiso académico: vigor, absorción y dedicación, cada una de ellas compuesta por tres ítems. Las puntuaciones de cada dimensión oscilan entre cero y dieciocho puntos, donde valores más altos reflejan un mayor nivel de compromiso académico. </w:t>
      </w:r>
    </w:p>
    <w:p w14:paraId="00494510" w14:textId="77777777" w:rsidR="007B2C8A" w:rsidRPr="006D7DCA" w:rsidRDefault="007B2C8A" w:rsidP="006734DA">
      <w:pPr>
        <w:spacing w:before="240" w:line="256" w:lineRule="auto"/>
        <w:rPr>
          <w:rFonts w:ascii="Times New Roman" w:eastAsia="Calibri" w:hAnsi="Times New Roman" w:cs="Times New Roman"/>
          <w:i/>
          <w:iCs/>
          <w:kern w:val="0"/>
          <w:sz w:val="22"/>
          <w:szCs w:val="22"/>
          <w14:ligatures w14:val="none"/>
        </w:rPr>
      </w:pPr>
      <w:r w:rsidRPr="006D7DCA">
        <w:rPr>
          <w:rFonts w:ascii="Times New Roman" w:eastAsia="Calibri" w:hAnsi="Times New Roman" w:cs="Times New Roman"/>
          <w:i/>
          <w:iCs/>
          <w:kern w:val="0"/>
          <w:sz w:val="22"/>
          <w:szCs w:val="22"/>
          <w14:ligatures w14:val="none"/>
        </w:rPr>
        <w:t>Burnout académico</w:t>
      </w:r>
    </w:p>
    <w:p w14:paraId="6AD1413B" w14:textId="6BAC0B68" w:rsidR="005375DD" w:rsidRPr="006D7DCA" w:rsidRDefault="005375DD" w:rsidP="006734DA">
      <w:pPr>
        <w:autoSpaceDE w:val="0"/>
        <w:autoSpaceDN w:val="0"/>
        <w:adjustRightInd w:val="0"/>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 xml:space="preserve">El burnout académico fue evaluado mediante la versión española del Maslach Burnout </w:t>
      </w:r>
      <w:proofErr w:type="spellStart"/>
      <w:r w:rsidRPr="006D7DCA">
        <w:rPr>
          <w:rFonts w:ascii="Times New Roman" w:eastAsia="Calibri" w:hAnsi="Times New Roman" w:cs="Times New Roman"/>
          <w:kern w:val="0"/>
          <w:sz w:val="22"/>
          <w:szCs w:val="22"/>
          <w14:ligatures w14:val="none"/>
        </w:rPr>
        <w:t>Inventory</w:t>
      </w:r>
      <w:proofErr w:type="spellEnd"/>
      <w:r w:rsidRPr="006D7DCA">
        <w:rPr>
          <w:rFonts w:ascii="Times New Roman" w:eastAsia="Calibri" w:hAnsi="Times New Roman" w:cs="Times New Roman"/>
          <w:kern w:val="0"/>
          <w:sz w:val="22"/>
          <w:szCs w:val="22"/>
          <w14:ligatures w14:val="none"/>
        </w:rPr>
        <w:t xml:space="preserve">-Student </w:t>
      </w:r>
      <w:proofErr w:type="spellStart"/>
      <w:r w:rsidRPr="006D7DCA">
        <w:rPr>
          <w:rFonts w:ascii="Times New Roman" w:eastAsia="Calibri" w:hAnsi="Times New Roman" w:cs="Times New Roman"/>
          <w:kern w:val="0"/>
          <w:sz w:val="22"/>
          <w:szCs w:val="22"/>
          <w14:ligatures w14:val="none"/>
        </w:rPr>
        <w:t>Survey</w:t>
      </w:r>
      <w:proofErr w:type="spellEnd"/>
      <w:r w:rsidRPr="006D7DCA">
        <w:rPr>
          <w:rFonts w:ascii="Times New Roman" w:eastAsia="Calibri" w:hAnsi="Times New Roman" w:cs="Times New Roman"/>
          <w:kern w:val="0"/>
          <w:sz w:val="22"/>
          <w:szCs w:val="22"/>
          <w14:ligatures w14:val="none"/>
        </w:rPr>
        <w:t xml:space="preserve"> (MBI-SS), una adaptación del MBI-GS diseñada específicamente para estudiantes y validada por </w:t>
      </w:r>
      <w:proofErr w:type="spellStart"/>
      <w:r w:rsidRPr="006D7DCA">
        <w:rPr>
          <w:rFonts w:ascii="Times New Roman" w:eastAsia="Calibri" w:hAnsi="Times New Roman" w:cs="Times New Roman"/>
          <w:kern w:val="0"/>
          <w:sz w:val="22"/>
          <w:szCs w:val="22"/>
          <w14:ligatures w14:val="none"/>
        </w:rPr>
        <w:t>Schaufeli</w:t>
      </w:r>
      <w:proofErr w:type="spellEnd"/>
      <w:r w:rsidRPr="006D7DCA">
        <w:rPr>
          <w:rFonts w:ascii="Times New Roman" w:eastAsia="Calibri" w:hAnsi="Times New Roman" w:cs="Times New Roman"/>
          <w:kern w:val="0"/>
          <w:sz w:val="22"/>
          <w:szCs w:val="22"/>
          <w14:ligatures w14:val="none"/>
        </w:rPr>
        <w:t xml:space="preserve"> et al. (2002) (Cronbach α = </w:t>
      </w:r>
      <w:r w:rsidR="000E6BF7" w:rsidRPr="006D7DCA">
        <w:rPr>
          <w:rFonts w:ascii="Times New Roman" w:eastAsia="Calibri" w:hAnsi="Times New Roman" w:cs="Times New Roman"/>
          <w:kern w:val="0"/>
          <w:sz w:val="22"/>
          <w:szCs w:val="22"/>
          <w14:ligatures w14:val="none"/>
        </w:rPr>
        <w:t>0</w:t>
      </w:r>
      <w:r w:rsidRPr="006D7DCA">
        <w:rPr>
          <w:rFonts w:ascii="Times New Roman" w:eastAsia="Calibri" w:hAnsi="Times New Roman" w:cs="Times New Roman"/>
          <w:kern w:val="0"/>
          <w:sz w:val="22"/>
          <w:szCs w:val="22"/>
          <w14:ligatures w14:val="none"/>
        </w:rPr>
        <w:t xml:space="preserve">.70 a </w:t>
      </w:r>
      <w:r w:rsidR="000E6BF7" w:rsidRPr="006D7DCA">
        <w:rPr>
          <w:rFonts w:ascii="Times New Roman" w:eastAsia="Calibri" w:hAnsi="Times New Roman" w:cs="Times New Roman"/>
          <w:kern w:val="0"/>
          <w:sz w:val="22"/>
          <w:szCs w:val="22"/>
          <w14:ligatures w14:val="none"/>
        </w:rPr>
        <w:t>0</w:t>
      </w:r>
      <w:r w:rsidRPr="006D7DCA">
        <w:rPr>
          <w:rFonts w:ascii="Times New Roman" w:eastAsia="Calibri" w:hAnsi="Times New Roman" w:cs="Times New Roman"/>
          <w:kern w:val="0"/>
          <w:sz w:val="22"/>
          <w:szCs w:val="22"/>
          <w14:ligatures w14:val="none"/>
        </w:rPr>
        <w:t>.86). Este instrumento mide el nivel de agotamiento académico a través de tres dimensiones clave: agotamiento emocional (5 ítems), cinismo (4 ítems) y eficacia académica (6 ítems). Los ítems se califican utilizando una escala Likert de siete puntos, que va desde 0 ("nunca") hasta 6 ("siempre"). Las puntuaciones de cada dimensión varían entre un mínimo de 0 y un máximo de 30 para agotamiento emocional y cinismo, y entre 0 y 36 para eficacia académica. Niveles elevados en las dimensiones de agotamiento emocional y cinismo, combinados con puntuaciones bajas en la dimensión de eficacia académica, son indicativos de un mayor grado de burnout. Cabe destacar que la eficacia académica se interpreta con puntuaciones invertidas, de manera que valores altos en esta dimensión reflejan niveles más bajos de burnout.</w:t>
      </w:r>
    </w:p>
    <w:p w14:paraId="4F128143" w14:textId="77777777" w:rsidR="00DB2558" w:rsidRPr="006D7DCA" w:rsidRDefault="007B2C8A" w:rsidP="006734DA">
      <w:pPr>
        <w:spacing w:before="240" w:line="360" w:lineRule="auto"/>
        <w:jc w:val="both"/>
        <w:rPr>
          <w:rFonts w:ascii="Times New Roman" w:eastAsia="Calibri" w:hAnsi="Times New Roman" w:cs="Times New Roman"/>
          <w:i/>
          <w:iCs/>
          <w:kern w:val="0"/>
          <w:sz w:val="22"/>
          <w:szCs w:val="22"/>
          <w14:ligatures w14:val="none"/>
        </w:rPr>
      </w:pPr>
      <w:r w:rsidRPr="006D7DCA">
        <w:rPr>
          <w:rFonts w:ascii="Times New Roman" w:eastAsia="Calibri" w:hAnsi="Times New Roman" w:cs="Times New Roman"/>
          <w:i/>
          <w:iCs/>
          <w:kern w:val="0"/>
          <w:sz w:val="22"/>
          <w:szCs w:val="22"/>
          <w14:ligatures w14:val="none"/>
        </w:rPr>
        <w:t>Estrategias de afrontamiento</w:t>
      </w:r>
    </w:p>
    <w:p w14:paraId="0BBF0772" w14:textId="423E8360" w:rsidR="007B2C8A" w:rsidRPr="006D7DCA" w:rsidRDefault="00790CCF" w:rsidP="006734DA">
      <w:pPr>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 xml:space="preserve">El estudio de las estrategias de afrontamiento se llevará a cabo mediante la Escala de Afrontamiento del Estrés Académico (A-CEA), diseñada y validada en estudiantado universitario español por </w:t>
      </w:r>
      <w:proofErr w:type="spellStart"/>
      <w:r w:rsidRPr="006D7DCA">
        <w:rPr>
          <w:rFonts w:ascii="Times New Roman" w:eastAsia="Calibri" w:hAnsi="Times New Roman" w:cs="Times New Roman"/>
          <w:kern w:val="0"/>
          <w:sz w:val="22"/>
          <w:szCs w:val="22"/>
          <w14:ligatures w14:val="none"/>
        </w:rPr>
        <w:t>Cabanach</w:t>
      </w:r>
      <w:proofErr w:type="spellEnd"/>
      <w:r w:rsidRPr="006D7DCA">
        <w:rPr>
          <w:rFonts w:ascii="Times New Roman" w:eastAsia="Calibri" w:hAnsi="Times New Roman" w:cs="Times New Roman"/>
          <w:kern w:val="0"/>
          <w:sz w:val="22"/>
          <w:szCs w:val="22"/>
          <w14:ligatures w14:val="none"/>
        </w:rPr>
        <w:t xml:space="preserve"> et al. (2010) (Cronbach α = </w:t>
      </w:r>
      <w:r w:rsidR="000E6BF7" w:rsidRPr="006D7DCA">
        <w:rPr>
          <w:rFonts w:ascii="Times New Roman" w:eastAsia="Calibri" w:hAnsi="Times New Roman" w:cs="Times New Roman"/>
          <w:kern w:val="0"/>
          <w:sz w:val="22"/>
          <w:szCs w:val="22"/>
          <w14:ligatures w14:val="none"/>
        </w:rPr>
        <w:t>0</w:t>
      </w:r>
      <w:r w:rsidRPr="006D7DCA">
        <w:rPr>
          <w:rFonts w:ascii="Times New Roman" w:eastAsia="Calibri" w:hAnsi="Times New Roman" w:cs="Times New Roman"/>
          <w:kern w:val="0"/>
          <w:sz w:val="22"/>
          <w:szCs w:val="22"/>
          <w14:ligatures w14:val="none"/>
        </w:rPr>
        <w:t>.89). Este instrumento evalúa las estrategias cognitivas y conductuales utilizadas por el estudiantado para manejar el estrés académico a través de 23 ítems, respondidos en una escala Likert de cinco puntos que varía entre 1 ("Nunca") y 5 ("Siempre"). La escala se organiza en tres factores principales: Reevaluación positiva (10 ítems), Búsqueda de apoyo (7 ítems) y Planificación (6 ítems). En cuanto a las puntuaciones, cada dimensión tiene un rango que depende del número de ítems que la componen. Las puntuaciones oscilan entre 10 y 50 puntos para Reevaluación positiva, entre 7 y 35 puntos para Búsqueda de apoyo, y entre 6 y 30 puntos para Planificación. Estas puntuaciones permiten identificar el grado en que el estudiantado recurre a cada estrategia de afrontamiento en situaciones de estrés académico.</w:t>
      </w:r>
    </w:p>
    <w:p w14:paraId="6B0710BA" w14:textId="77777777" w:rsidR="00EA0A77" w:rsidRPr="006D7DCA" w:rsidRDefault="00EA0A77" w:rsidP="00EA0A77">
      <w:pPr>
        <w:spacing w:before="240" w:line="360" w:lineRule="auto"/>
        <w:jc w:val="both"/>
        <w:rPr>
          <w:rFonts w:ascii="Times New Roman" w:eastAsia="Calibri" w:hAnsi="Times New Roman" w:cs="Times New Roman"/>
          <w:i/>
          <w:iCs/>
          <w:kern w:val="0"/>
          <w:sz w:val="22"/>
          <w:szCs w:val="22"/>
          <w14:ligatures w14:val="none"/>
        </w:rPr>
      </w:pPr>
      <w:r w:rsidRPr="006D7DCA">
        <w:rPr>
          <w:rFonts w:ascii="Times New Roman" w:eastAsia="Calibri" w:hAnsi="Times New Roman" w:cs="Times New Roman"/>
          <w:i/>
          <w:iCs/>
          <w:kern w:val="0"/>
          <w:sz w:val="22"/>
          <w:szCs w:val="22"/>
          <w14:ligatures w14:val="none"/>
        </w:rPr>
        <w:t>Procrastinación académica</w:t>
      </w:r>
    </w:p>
    <w:p w14:paraId="714479F1" w14:textId="0501BDD3" w:rsidR="00EA0A77" w:rsidRPr="006D7DCA" w:rsidRDefault="00EA0A77" w:rsidP="006734DA">
      <w:pPr>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 xml:space="preserve">La evaluación de la procrastinación académica se plantea con el uso del </w:t>
      </w:r>
      <w:proofErr w:type="spellStart"/>
      <w:r w:rsidRPr="006D7DCA">
        <w:rPr>
          <w:rFonts w:ascii="Times New Roman" w:eastAsia="Calibri" w:hAnsi="Times New Roman" w:cs="Times New Roman"/>
          <w:kern w:val="0"/>
          <w:sz w:val="22"/>
          <w:szCs w:val="22"/>
          <w14:ligatures w14:val="none"/>
        </w:rPr>
        <w:t>Academic</w:t>
      </w:r>
      <w:proofErr w:type="spellEnd"/>
      <w:r w:rsidRPr="006D7DCA">
        <w:rPr>
          <w:rFonts w:ascii="Times New Roman" w:eastAsia="Calibri" w:hAnsi="Times New Roman" w:cs="Times New Roman"/>
          <w:kern w:val="0"/>
          <w:sz w:val="22"/>
          <w:szCs w:val="22"/>
          <w14:ligatures w14:val="none"/>
        </w:rPr>
        <w:t xml:space="preserve"> </w:t>
      </w:r>
      <w:proofErr w:type="spellStart"/>
      <w:r w:rsidRPr="006D7DCA">
        <w:rPr>
          <w:rFonts w:ascii="Times New Roman" w:eastAsia="Calibri" w:hAnsi="Times New Roman" w:cs="Times New Roman"/>
          <w:kern w:val="0"/>
          <w:sz w:val="22"/>
          <w:szCs w:val="22"/>
          <w14:ligatures w14:val="none"/>
        </w:rPr>
        <w:t>Procrastination</w:t>
      </w:r>
      <w:proofErr w:type="spellEnd"/>
      <w:r w:rsidRPr="006D7DCA">
        <w:rPr>
          <w:rFonts w:ascii="Times New Roman" w:eastAsia="Calibri" w:hAnsi="Times New Roman" w:cs="Times New Roman"/>
          <w:kern w:val="0"/>
          <w:sz w:val="22"/>
          <w:szCs w:val="22"/>
          <w14:ligatures w14:val="none"/>
        </w:rPr>
        <w:t xml:space="preserve"> Scale-Short Form (APS-SF), validada en estudia</w:t>
      </w:r>
      <w:r w:rsidR="00790CCF" w:rsidRPr="006D7DCA">
        <w:rPr>
          <w:rFonts w:ascii="Times New Roman" w:eastAsia="Calibri" w:hAnsi="Times New Roman" w:cs="Times New Roman"/>
          <w:kern w:val="0"/>
          <w:sz w:val="22"/>
          <w:szCs w:val="22"/>
          <w14:ligatures w14:val="none"/>
        </w:rPr>
        <w:t>ntado</w:t>
      </w:r>
      <w:r w:rsidRPr="006D7DCA">
        <w:rPr>
          <w:rFonts w:ascii="Times New Roman" w:eastAsia="Calibri" w:hAnsi="Times New Roman" w:cs="Times New Roman"/>
          <w:kern w:val="0"/>
          <w:sz w:val="22"/>
          <w:szCs w:val="22"/>
          <w14:ligatures w14:val="none"/>
        </w:rPr>
        <w:t xml:space="preserve"> español por Brando-Garrido et al. 2020 (Cronbach α .89). Este instrumento evalúa la procrastinación académica a través de cinco ítems distribuidos en una escala Likert de cinco opciones, desde 1 (total desacuerdo) a 5 (total acuerdo). La puntuación final del cuestionario tiene un rango desde cinco a veinticinco, siendo las más altas las que se asocian a un mayor nivel de procrastinación académica.</w:t>
      </w:r>
    </w:p>
    <w:p w14:paraId="38FD0A01" w14:textId="77777777" w:rsidR="00715734" w:rsidRPr="006D7DCA" w:rsidRDefault="00715734" w:rsidP="00715734">
      <w:pPr>
        <w:spacing w:before="240" w:line="240" w:lineRule="auto"/>
        <w:jc w:val="both"/>
        <w:rPr>
          <w:rFonts w:ascii="Times New Roman" w:eastAsia="Calibri" w:hAnsi="Times New Roman" w:cs="Times New Roman"/>
          <w:b/>
          <w:bCs/>
          <w:kern w:val="0"/>
          <w:sz w:val="22"/>
          <w:szCs w:val="22"/>
          <w14:ligatures w14:val="none"/>
        </w:rPr>
      </w:pPr>
      <w:r w:rsidRPr="006D7DCA">
        <w:rPr>
          <w:rFonts w:ascii="Times New Roman" w:eastAsia="Calibri" w:hAnsi="Times New Roman" w:cs="Times New Roman"/>
          <w:b/>
          <w:bCs/>
          <w:kern w:val="0"/>
          <w:sz w:val="22"/>
          <w:szCs w:val="22"/>
          <w14:ligatures w14:val="none"/>
        </w:rPr>
        <w:t>Procedimiento</w:t>
      </w:r>
    </w:p>
    <w:p w14:paraId="3B542D1E" w14:textId="1BD2AE43" w:rsidR="0093325B" w:rsidRPr="006D7DCA" w:rsidRDefault="0093325B" w:rsidP="00715734">
      <w:pPr>
        <w:autoSpaceDE w:val="0"/>
        <w:autoSpaceDN w:val="0"/>
        <w:adjustRightInd w:val="0"/>
        <w:spacing w:before="240" w:line="360" w:lineRule="auto"/>
        <w:jc w:val="both"/>
        <w:rPr>
          <w:rFonts w:ascii="Times New Roman" w:eastAsia="Calibri" w:hAnsi="Times New Roman" w:cs="Times New Roman"/>
          <w:bCs/>
          <w:kern w:val="0"/>
          <w:sz w:val="22"/>
          <w:szCs w:val="22"/>
          <w14:ligatures w14:val="none"/>
        </w:rPr>
      </w:pPr>
      <w:r w:rsidRPr="006D7DCA">
        <w:rPr>
          <w:rFonts w:ascii="Times New Roman" w:eastAsia="Calibri" w:hAnsi="Times New Roman" w:cs="Times New Roman"/>
          <w:bCs/>
          <w:kern w:val="0"/>
          <w:sz w:val="22"/>
          <w:szCs w:val="22"/>
          <w14:ligatures w14:val="none"/>
        </w:rPr>
        <w:t>Durante el proceso de investigación, se respetaron rigurosamente los principios éticos establecidos en la Declaración de Helsinki. El estudio contó con la aprobación de un comité de ética de investigación institucional (código PI031_2023), otorgada en julio de 2023, garantizando el cumplimiento de las normativas éticas aplicables.</w:t>
      </w:r>
    </w:p>
    <w:p w14:paraId="5E22217F" w14:textId="2AA9A42F" w:rsidR="00715734" w:rsidRPr="006D7DCA" w:rsidRDefault="00715734" w:rsidP="00715734">
      <w:pPr>
        <w:autoSpaceDE w:val="0"/>
        <w:autoSpaceDN w:val="0"/>
        <w:adjustRightInd w:val="0"/>
        <w:spacing w:before="240" w:line="360" w:lineRule="auto"/>
        <w:jc w:val="both"/>
        <w:rPr>
          <w:rFonts w:ascii="Times New Roman" w:eastAsia="Calibri" w:hAnsi="Times New Roman" w:cs="Times New Roman"/>
          <w:bCs/>
          <w:kern w:val="0"/>
          <w:sz w:val="22"/>
          <w:szCs w:val="22"/>
          <w14:ligatures w14:val="none"/>
        </w:rPr>
      </w:pPr>
      <w:r w:rsidRPr="006D7DCA">
        <w:rPr>
          <w:rFonts w:ascii="Times New Roman" w:eastAsia="Calibri" w:hAnsi="Times New Roman" w:cs="Times New Roman"/>
          <w:bCs/>
          <w:kern w:val="0"/>
          <w:sz w:val="22"/>
          <w:szCs w:val="22"/>
          <w14:ligatures w14:val="none"/>
        </w:rPr>
        <w:t xml:space="preserve">En cuanto a la convocatoria de </w:t>
      </w:r>
      <w:r w:rsidR="00790CCF" w:rsidRPr="006D7DCA">
        <w:rPr>
          <w:rFonts w:ascii="Times New Roman" w:eastAsia="Calibri" w:hAnsi="Times New Roman" w:cs="Times New Roman"/>
          <w:bCs/>
          <w:kern w:val="0"/>
          <w:sz w:val="22"/>
          <w:szCs w:val="22"/>
          <w14:ligatures w14:val="none"/>
        </w:rPr>
        <w:t>la muestra</w:t>
      </w:r>
      <w:r w:rsidRPr="006D7DCA">
        <w:rPr>
          <w:rFonts w:ascii="Times New Roman" w:eastAsia="Calibri" w:hAnsi="Times New Roman" w:cs="Times New Roman"/>
          <w:bCs/>
          <w:kern w:val="0"/>
          <w:sz w:val="22"/>
          <w:szCs w:val="22"/>
          <w14:ligatures w14:val="none"/>
        </w:rPr>
        <w:t xml:space="preserve">, estos fueron invitados a formar parte del estudio mediante diversos canales institucionales, como el correo electrónico de la Universidad, el campus virtual y mensajes a través de aplicaciones de mensajería móvil. Estas comunicaciones se realizaron bajo la coordinación y autorización de las Facultades y el Vicerrectorado de Investigación, asegurando un enfoque organizado y respetuoso. Para llevar a cabo la recopilación de datos, se diseñó el instrumento final en la plataforma en línea SurveyMonkey. En este sentido, se generó un enlace único que fue incluido en los mensajes enviados a los participantes, junto con información detallada sobre los objetivos del estudio. </w:t>
      </w:r>
      <w:r w:rsidR="00790CCF" w:rsidRPr="006D7DCA">
        <w:rPr>
          <w:rFonts w:ascii="Times New Roman" w:eastAsia="Calibri" w:hAnsi="Times New Roman" w:cs="Times New Roman"/>
          <w:bCs/>
          <w:kern w:val="0"/>
          <w:sz w:val="22"/>
          <w:szCs w:val="22"/>
          <w14:ligatures w14:val="none"/>
        </w:rPr>
        <w:t>Además, como requisito previo al acceso al cuestionario, se incluyó un formulario de consentimiento informado en línea, lo que garantizó que el estudiantado estuviera plenamente informado antes de colaborar en la investigación.</w:t>
      </w:r>
    </w:p>
    <w:p w14:paraId="51D37A06" w14:textId="6CC96977" w:rsidR="00715734" w:rsidRPr="006D7DCA" w:rsidRDefault="00715734" w:rsidP="00715734">
      <w:pPr>
        <w:autoSpaceDE w:val="0"/>
        <w:autoSpaceDN w:val="0"/>
        <w:adjustRightInd w:val="0"/>
        <w:spacing w:before="240" w:line="360" w:lineRule="auto"/>
        <w:jc w:val="both"/>
        <w:rPr>
          <w:rFonts w:ascii="Times New Roman" w:eastAsia="Calibri" w:hAnsi="Times New Roman" w:cs="Times New Roman"/>
          <w:bCs/>
          <w:kern w:val="0"/>
          <w:sz w:val="22"/>
          <w:szCs w:val="22"/>
          <w14:ligatures w14:val="none"/>
        </w:rPr>
      </w:pPr>
      <w:r w:rsidRPr="006D7DCA">
        <w:rPr>
          <w:rFonts w:ascii="Times New Roman" w:eastAsia="Calibri" w:hAnsi="Times New Roman" w:cs="Times New Roman"/>
          <w:bCs/>
          <w:kern w:val="0"/>
          <w:sz w:val="22"/>
          <w:szCs w:val="22"/>
          <w14:ligatures w14:val="none"/>
        </w:rPr>
        <w:t xml:space="preserve">Posteriormente, </w:t>
      </w:r>
      <w:r w:rsidR="00790CCF" w:rsidRPr="006D7DCA">
        <w:rPr>
          <w:rFonts w:ascii="Times New Roman" w:eastAsia="Calibri" w:hAnsi="Times New Roman" w:cs="Times New Roman"/>
          <w:bCs/>
          <w:kern w:val="0"/>
          <w:sz w:val="22"/>
          <w:szCs w:val="22"/>
          <w14:ligatures w14:val="none"/>
        </w:rPr>
        <w:t>el estudiantado</w:t>
      </w:r>
      <w:r w:rsidRPr="006D7DCA">
        <w:rPr>
          <w:rFonts w:ascii="Times New Roman" w:eastAsia="Calibri" w:hAnsi="Times New Roman" w:cs="Times New Roman"/>
          <w:bCs/>
          <w:kern w:val="0"/>
          <w:sz w:val="22"/>
          <w:szCs w:val="22"/>
          <w14:ligatures w14:val="none"/>
        </w:rPr>
        <w:t xml:space="preserve"> complet</w:t>
      </w:r>
      <w:r w:rsidR="00790CCF" w:rsidRPr="006D7DCA">
        <w:rPr>
          <w:rFonts w:ascii="Times New Roman" w:eastAsia="Calibri" w:hAnsi="Times New Roman" w:cs="Times New Roman"/>
          <w:bCs/>
          <w:kern w:val="0"/>
          <w:sz w:val="22"/>
          <w:szCs w:val="22"/>
          <w14:ligatures w14:val="none"/>
        </w:rPr>
        <w:t>ó</w:t>
      </w:r>
      <w:r w:rsidRPr="006D7DCA">
        <w:rPr>
          <w:rFonts w:ascii="Times New Roman" w:eastAsia="Calibri" w:hAnsi="Times New Roman" w:cs="Times New Roman"/>
          <w:bCs/>
          <w:kern w:val="0"/>
          <w:sz w:val="22"/>
          <w:szCs w:val="22"/>
          <w14:ligatures w14:val="none"/>
        </w:rPr>
        <w:t xml:space="preserve"> el cuestionario de manera individual desde cualquier dispositivo con acceso a Internet, ya sea un teléfono móvil, tableta o computadora, sin restricciones geográficas. Para preservar la calidad de los datos, se permitió únicamente una respuesta por usuario. En todo momento, se implementaron estrictas medidas para mantener la confidencialidad y el anonimato de las respuestas de los participantes. Finalmente, la recolección de datos se llevó a cabo entre mayo y junio de 2024.</w:t>
      </w:r>
    </w:p>
    <w:p w14:paraId="5398A779" w14:textId="3102C1D9" w:rsidR="00171BC2" w:rsidRPr="006D7DCA" w:rsidRDefault="00171BC2" w:rsidP="006734DA">
      <w:pPr>
        <w:spacing w:before="240" w:line="360" w:lineRule="auto"/>
        <w:jc w:val="both"/>
        <w:rPr>
          <w:rFonts w:ascii="Times New Roman" w:eastAsia="Calibri" w:hAnsi="Times New Roman" w:cs="Times New Roman"/>
          <w:b/>
          <w:kern w:val="0"/>
          <w:sz w:val="22"/>
          <w:szCs w:val="22"/>
          <w14:ligatures w14:val="none"/>
        </w:rPr>
      </w:pPr>
      <w:r w:rsidRPr="006D7DCA">
        <w:rPr>
          <w:rFonts w:ascii="Times New Roman" w:eastAsia="Calibri" w:hAnsi="Times New Roman" w:cs="Times New Roman"/>
          <w:b/>
          <w:kern w:val="0"/>
          <w:sz w:val="22"/>
          <w:szCs w:val="22"/>
          <w14:ligatures w14:val="none"/>
        </w:rPr>
        <w:t>Análisis estadístico</w:t>
      </w:r>
    </w:p>
    <w:p w14:paraId="3537CE3E" w14:textId="77777777" w:rsidR="006C5CC1" w:rsidRPr="006D7DCA" w:rsidRDefault="006C5CC1" w:rsidP="006734DA">
      <w:pPr>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El análisis de los datos recolectados se llevó a cabo utilizando el software estadístico SPSS versión 26. En primer lugar, se realizaron análisis descriptivos para caracterizar la muestra y resumir las puntuaciones obtenidas en los diferentes instrumentos utilizados, empleando medidas de tendencia central (media) y dispersión (desviación estándar). Asimismo, se evaluó la distribución de las variables mediante las pruebas de Kolmogorov-Smirnov y Shapiro-Wilk, con el objetivo de determinar su normalidad.</w:t>
      </w:r>
    </w:p>
    <w:p w14:paraId="38EFE742" w14:textId="77777777" w:rsidR="006C5CC1" w:rsidRPr="006D7DCA" w:rsidRDefault="006C5CC1" w:rsidP="006734DA">
      <w:pPr>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Para explorar las diferencias entre grupos según los niveles de estrés, ansiedad y depresión, se aplicaron pruebas estadísticas inferenciales. En el caso de las variables cuantitativas que seguían una distribución normal, se utilizó el análisis de varianza (ANOVA) para realizar comparaciones entre grupos. Cuando los supuestos de normalidad no se cumplían, se recurrió a pruebas no paramétricas, como la prueba de Kruskal-Wallis.</w:t>
      </w:r>
    </w:p>
    <w:p w14:paraId="7508C78D" w14:textId="3FBF7D7F" w:rsidR="00EF69F5" w:rsidRPr="006D7DCA" w:rsidRDefault="006C5CC1" w:rsidP="006734DA">
      <w:pPr>
        <w:spacing w:before="240" w:line="360" w:lineRule="auto"/>
        <w:jc w:val="both"/>
        <w:rPr>
          <w:rFonts w:ascii="Times New Roman" w:eastAsia="Calibri" w:hAnsi="Times New Roman" w:cs="Times New Roman"/>
          <w:kern w:val="0"/>
          <w:sz w:val="22"/>
          <w:szCs w:val="22"/>
          <w14:ligatures w14:val="none"/>
        </w:rPr>
      </w:pPr>
      <w:r w:rsidRPr="006D7DCA">
        <w:rPr>
          <w:rFonts w:ascii="Times New Roman" w:eastAsia="Calibri" w:hAnsi="Times New Roman" w:cs="Times New Roman"/>
          <w:kern w:val="0"/>
          <w:sz w:val="22"/>
          <w:szCs w:val="22"/>
          <w14:ligatures w14:val="none"/>
        </w:rPr>
        <w:t>Además, se llev</w:t>
      </w:r>
      <w:r w:rsidR="00D66643" w:rsidRPr="006D7DCA">
        <w:rPr>
          <w:rFonts w:ascii="Times New Roman" w:eastAsia="Calibri" w:hAnsi="Times New Roman" w:cs="Times New Roman"/>
          <w:kern w:val="0"/>
          <w:sz w:val="22"/>
          <w:szCs w:val="22"/>
          <w14:ligatures w14:val="none"/>
        </w:rPr>
        <w:t>ó</w:t>
      </w:r>
      <w:r w:rsidRPr="006D7DCA">
        <w:rPr>
          <w:rFonts w:ascii="Times New Roman" w:eastAsia="Calibri" w:hAnsi="Times New Roman" w:cs="Times New Roman"/>
          <w:kern w:val="0"/>
          <w:sz w:val="22"/>
          <w:szCs w:val="22"/>
          <w14:ligatures w14:val="none"/>
        </w:rPr>
        <w:t xml:space="preserve"> a cabo </w:t>
      </w:r>
      <w:r w:rsidR="00D66643" w:rsidRPr="006D7DCA">
        <w:rPr>
          <w:rFonts w:ascii="Times New Roman" w:eastAsia="Calibri" w:hAnsi="Times New Roman" w:cs="Times New Roman"/>
          <w:kern w:val="0"/>
          <w:sz w:val="22"/>
          <w:szCs w:val="22"/>
          <w14:ligatures w14:val="none"/>
        </w:rPr>
        <w:t xml:space="preserve">un </w:t>
      </w:r>
      <w:r w:rsidRPr="006D7DCA">
        <w:rPr>
          <w:rFonts w:ascii="Times New Roman" w:eastAsia="Calibri" w:hAnsi="Times New Roman" w:cs="Times New Roman"/>
          <w:kern w:val="0"/>
          <w:sz w:val="22"/>
          <w:szCs w:val="22"/>
          <w14:ligatures w14:val="none"/>
        </w:rPr>
        <w:t>análisis de regresión lineal múltiple para examinar la asociación entre las variables predictoras (hábitos de vida, comportamientos académicos y estrategias de afrontamiento) y los niveles de estrés, ansiedad y depresión. Para cada modelo de regresión, se reportaron los coeficientes de regresión estandarizados (β), valores de significancia (p). Finalmente, se evaluó la capacidad explicativa de los modelos mediante el coeficiente de determinación ajustado (R² ajustado), indicando el porcentaje de varianza explicado por las variables incluidas en el modelo. Todos los análisis se realizaron con un nivel de confianza del 95%, considerando como estadísticamente significativos los valores de p &lt; 0.05.</w:t>
      </w:r>
    </w:p>
    <w:p w14:paraId="3C5DFB79" w14:textId="77777777" w:rsidR="00171BC2" w:rsidRPr="006D7DCA" w:rsidRDefault="00171BC2" w:rsidP="006734DA">
      <w:pPr>
        <w:spacing w:before="240" w:line="256" w:lineRule="auto"/>
        <w:jc w:val="center"/>
        <w:rPr>
          <w:rFonts w:ascii="Times New Roman" w:eastAsia="Calibri" w:hAnsi="Times New Roman" w:cs="Times New Roman"/>
          <w:b/>
          <w:bCs/>
          <w:sz w:val="22"/>
          <w:szCs w:val="22"/>
        </w:rPr>
      </w:pPr>
      <w:r w:rsidRPr="006D7DCA">
        <w:rPr>
          <w:rFonts w:ascii="Times New Roman" w:eastAsia="Calibri" w:hAnsi="Times New Roman" w:cs="Times New Roman"/>
          <w:b/>
          <w:bCs/>
          <w:sz w:val="22"/>
          <w:szCs w:val="22"/>
        </w:rPr>
        <w:t xml:space="preserve">RESULTADOS </w:t>
      </w:r>
    </w:p>
    <w:p w14:paraId="28BEA0B4" w14:textId="7763C160" w:rsidR="0058345F" w:rsidRPr="006D7DCA" w:rsidRDefault="0058345F" w:rsidP="0058345F">
      <w:pPr>
        <w:spacing w:before="240"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Las características sociodemográficas de la muestra se presentan en la Tabla 1. La muestra estuvo compuesta mayoritariamente por personas de entre 20 y 49 años, destacando los grupos de 20 a 29 años (35.5%) y de 30 a 39 años (32.9%), seguidos por el grupo de 40 a 49 años (23.5%). Los participantes menores de 20 años (0.8%) y aquellos con 50 años o más (7.2%) representaron una proporción reducida de la muestra. En cuanto al género, predominó la participación de mujeres (75.3%), frente a los hombres (24.7%). Respecto a la situación laboral, la mayoría de la muestra se encontraba trabajando por cuenta ajena (72.5%), seguida de personas en situación de desempleo (17.5%) y trabajo por cuenta propia (8.4%), mientras que las labores del hogar (1.2%) y la condición de pensionista (0.4%) fueron minoritarias. En relación con la situación familiar, el 64.0% de los participantes no tenía hijos, mientras que el 35.4% restante tenía uno o más, siendo más frecuentes los casos con uno (15.3%) o dos hijos (16.3%). Por último, en cuanto a la residencia habitual, más de la mitad de la muestra convivía en una vivienda compartida con la pareja (55.8%), seguida del domicilio familiar (26.2%) y la vivienda independiente (13.9%), mientras que la convivencia con amistades (3.7%) y la residencia universitaria (0.4%) presentaron una presencia residual.</w:t>
      </w:r>
    </w:p>
    <w:p w14:paraId="4E33DCB1" w14:textId="2A0D9DB8" w:rsidR="00166475" w:rsidRPr="006D7DCA" w:rsidRDefault="00166475" w:rsidP="0058345F">
      <w:pPr>
        <w:spacing w:before="240" w:line="360" w:lineRule="auto"/>
        <w:jc w:val="both"/>
        <w:rPr>
          <w:rFonts w:ascii="Times New Roman" w:eastAsia="Calibri" w:hAnsi="Times New Roman" w:cs="Times New Roman"/>
          <w:sz w:val="22"/>
          <w:szCs w:val="22"/>
        </w:rPr>
      </w:pPr>
      <w:r w:rsidRPr="006D7DCA">
        <w:rPr>
          <w:rFonts w:ascii="Times New Roman" w:eastAsia="Calibri" w:hAnsi="Times New Roman" w:cs="Times New Roman"/>
          <w:b/>
          <w:bCs/>
          <w:sz w:val="22"/>
          <w:szCs w:val="22"/>
        </w:rPr>
        <w:t>Tabla 1</w:t>
      </w:r>
      <w:r w:rsidR="0058345F" w:rsidRPr="006D7DCA">
        <w:rPr>
          <w:rFonts w:ascii="Times New Roman" w:eastAsia="Calibri" w:hAnsi="Times New Roman" w:cs="Times New Roman"/>
          <w:b/>
          <w:bCs/>
          <w:sz w:val="22"/>
          <w:szCs w:val="22"/>
        </w:rPr>
        <w:t>.</w:t>
      </w:r>
      <w:r w:rsidR="00DE401D" w:rsidRPr="006D7DCA">
        <w:rPr>
          <w:rFonts w:ascii="Times New Roman" w:eastAsia="Calibri" w:hAnsi="Times New Roman" w:cs="Times New Roman"/>
          <w:b/>
          <w:bCs/>
          <w:sz w:val="22"/>
          <w:szCs w:val="22"/>
        </w:rPr>
        <w:t xml:space="preserve"> </w:t>
      </w:r>
      <w:r w:rsidR="00DE401D" w:rsidRPr="006D7DCA">
        <w:rPr>
          <w:rFonts w:ascii="Times New Roman" w:eastAsia="Calibri" w:hAnsi="Times New Roman" w:cs="Times New Roman"/>
          <w:i/>
          <w:iCs/>
          <w:sz w:val="22"/>
          <w:szCs w:val="22"/>
        </w:rPr>
        <w:t>Características sociodemográficas de la muestra</w:t>
      </w:r>
    </w:p>
    <w:tbl>
      <w:tblPr>
        <w:tblStyle w:val="Tablaconcuadrcula"/>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6"/>
        <w:gridCol w:w="3716"/>
        <w:gridCol w:w="886"/>
        <w:gridCol w:w="1896"/>
      </w:tblGrid>
      <w:tr w:rsidR="006D7DCA" w:rsidRPr="006D7DCA" w14:paraId="54C95CEB" w14:textId="77777777" w:rsidTr="0058345F">
        <w:trPr>
          <w:trHeight w:val="559"/>
        </w:trPr>
        <w:tc>
          <w:tcPr>
            <w:tcW w:w="1179" w:type="pct"/>
            <w:tcBorders>
              <w:top w:val="single" w:sz="4" w:space="0" w:color="auto"/>
              <w:bottom w:val="single" w:sz="4" w:space="0" w:color="auto"/>
            </w:tcBorders>
            <w:vAlign w:val="center"/>
          </w:tcPr>
          <w:p w14:paraId="58F5EF05" w14:textId="77777777" w:rsidR="0058345F" w:rsidRPr="006D7DCA" w:rsidRDefault="0058345F" w:rsidP="0058345F">
            <w:pPr>
              <w:jc w:val="center"/>
              <w:rPr>
                <w:rFonts w:ascii="Times New Roman" w:eastAsia="Calibri" w:hAnsi="Times New Roman" w:cs="Times New Roman"/>
                <w:sz w:val="18"/>
                <w:szCs w:val="18"/>
              </w:rPr>
            </w:pPr>
          </w:p>
        </w:tc>
        <w:tc>
          <w:tcPr>
            <w:tcW w:w="2185" w:type="pct"/>
            <w:tcBorders>
              <w:top w:val="single" w:sz="4" w:space="0" w:color="auto"/>
              <w:bottom w:val="single" w:sz="4" w:space="0" w:color="auto"/>
            </w:tcBorders>
            <w:vAlign w:val="center"/>
          </w:tcPr>
          <w:p w14:paraId="6DDF76C5" w14:textId="77777777" w:rsidR="0058345F" w:rsidRPr="006D7DCA" w:rsidRDefault="0058345F" w:rsidP="0058345F">
            <w:pPr>
              <w:jc w:val="center"/>
              <w:rPr>
                <w:rFonts w:ascii="Times New Roman" w:eastAsia="Calibri" w:hAnsi="Times New Roman" w:cs="Times New Roman"/>
                <w:sz w:val="18"/>
                <w:szCs w:val="18"/>
              </w:rPr>
            </w:pPr>
          </w:p>
        </w:tc>
        <w:tc>
          <w:tcPr>
            <w:tcW w:w="521" w:type="pct"/>
            <w:tcBorders>
              <w:top w:val="single" w:sz="4" w:space="0" w:color="auto"/>
              <w:bottom w:val="single" w:sz="4" w:space="0" w:color="auto"/>
            </w:tcBorders>
            <w:vAlign w:val="center"/>
          </w:tcPr>
          <w:p w14:paraId="30DC6040" w14:textId="48FA2C2E"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N</w:t>
            </w:r>
          </w:p>
        </w:tc>
        <w:tc>
          <w:tcPr>
            <w:tcW w:w="1115" w:type="pct"/>
            <w:tcBorders>
              <w:top w:val="single" w:sz="4" w:space="0" w:color="auto"/>
              <w:bottom w:val="single" w:sz="4" w:space="0" w:color="auto"/>
            </w:tcBorders>
            <w:vAlign w:val="center"/>
          </w:tcPr>
          <w:p w14:paraId="11653452" w14:textId="407DB35B"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w:t>
            </w:r>
          </w:p>
        </w:tc>
      </w:tr>
      <w:tr w:rsidR="006D7DCA" w:rsidRPr="006D7DCA" w14:paraId="00812653" w14:textId="77777777" w:rsidTr="0058345F">
        <w:trPr>
          <w:trHeight w:hRule="exact" w:val="284"/>
        </w:trPr>
        <w:tc>
          <w:tcPr>
            <w:tcW w:w="1179" w:type="pct"/>
            <w:vMerge w:val="restart"/>
            <w:tcBorders>
              <w:top w:val="single" w:sz="4" w:space="0" w:color="auto"/>
              <w:bottom w:val="nil"/>
            </w:tcBorders>
            <w:vAlign w:val="center"/>
          </w:tcPr>
          <w:p w14:paraId="4BFE7B43" w14:textId="772B5531"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Edad</w:t>
            </w:r>
          </w:p>
        </w:tc>
        <w:tc>
          <w:tcPr>
            <w:tcW w:w="2185" w:type="pct"/>
            <w:tcBorders>
              <w:top w:val="single" w:sz="4" w:space="0" w:color="auto"/>
              <w:bottom w:val="nil"/>
            </w:tcBorders>
            <w:vAlign w:val="center"/>
          </w:tcPr>
          <w:p w14:paraId="7CCB95A6" w14:textId="2A9B0055"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&lt; 20 años</w:t>
            </w:r>
          </w:p>
        </w:tc>
        <w:tc>
          <w:tcPr>
            <w:tcW w:w="521" w:type="pct"/>
            <w:tcBorders>
              <w:top w:val="single" w:sz="4" w:space="0" w:color="auto"/>
              <w:bottom w:val="nil"/>
            </w:tcBorders>
            <w:vAlign w:val="center"/>
          </w:tcPr>
          <w:p w14:paraId="2938F91E" w14:textId="3B68148B"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18</w:t>
            </w:r>
          </w:p>
        </w:tc>
        <w:tc>
          <w:tcPr>
            <w:tcW w:w="1115" w:type="pct"/>
            <w:tcBorders>
              <w:top w:val="single" w:sz="4" w:space="0" w:color="auto"/>
              <w:bottom w:val="nil"/>
            </w:tcBorders>
            <w:vAlign w:val="center"/>
          </w:tcPr>
          <w:p w14:paraId="09B9B876" w14:textId="573FBC2E"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0.8</w:t>
            </w:r>
          </w:p>
        </w:tc>
      </w:tr>
      <w:tr w:rsidR="006D7DCA" w:rsidRPr="006D7DCA" w14:paraId="35333DA7" w14:textId="77777777" w:rsidTr="0058345F">
        <w:trPr>
          <w:trHeight w:hRule="exact" w:val="284"/>
        </w:trPr>
        <w:tc>
          <w:tcPr>
            <w:tcW w:w="1179" w:type="pct"/>
            <w:vMerge/>
            <w:tcBorders>
              <w:top w:val="nil"/>
              <w:bottom w:val="nil"/>
            </w:tcBorders>
            <w:vAlign w:val="center"/>
          </w:tcPr>
          <w:p w14:paraId="7A1372F6"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nil"/>
            </w:tcBorders>
            <w:vAlign w:val="center"/>
          </w:tcPr>
          <w:p w14:paraId="572E38CF" w14:textId="40875F31"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20–29 años</w:t>
            </w:r>
          </w:p>
        </w:tc>
        <w:tc>
          <w:tcPr>
            <w:tcW w:w="521" w:type="pct"/>
            <w:tcBorders>
              <w:top w:val="nil"/>
              <w:bottom w:val="nil"/>
            </w:tcBorders>
            <w:vAlign w:val="center"/>
          </w:tcPr>
          <w:p w14:paraId="23464E45" w14:textId="7CC6EDC6"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783</w:t>
            </w:r>
          </w:p>
        </w:tc>
        <w:tc>
          <w:tcPr>
            <w:tcW w:w="1115" w:type="pct"/>
            <w:tcBorders>
              <w:top w:val="nil"/>
              <w:bottom w:val="nil"/>
            </w:tcBorders>
            <w:vAlign w:val="center"/>
          </w:tcPr>
          <w:p w14:paraId="5B356436" w14:textId="2B7D661B"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35.5</w:t>
            </w:r>
          </w:p>
        </w:tc>
      </w:tr>
      <w:tr w:rsidR="006D7DCA" w:rsidRPr="006D7DCA" w14:paraId="6693F8F9" w14:textId="77777777" w:rsidTr="0058345F">
        <w:trPr>
          <w:trHeight w:hRule="exact" w:val="284"/>
        </w:trPr>
        <w:tc>
          <w:tcPr>
            <w:tcW w:w="1179" w:type="pct"/>
            <w:vMerge/>
            <w:tcBorders>
              <w:top w:val="nil"/>
              <w:bottom w:val="nil"/>
            </w:tcBorders>
            <w:vAlign w:val="center"/>
          </w:tcPr>
          <w:p w14:paraId="39E4B525"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nil"/>
            </w:tcBorders>
            <w:vAlign w:val="center"/>
          </w:tcPr>
          <w:p w14:paraId="16061F77" w14:textId="4DCC07A5"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30–39 años</w:t>
            </w:r>
          </w:p>
        </w:tc>
        <w:tc>
          <w:tcPr>
            <w:tcW w:w="521" w:type="pct"/>
            <w:tcBorders>
              <w:top w:val="nil"/>
              <w:bottom w:val="nil"/>
            </w:tcBorders>
            <w:vAlign w:val="center"/>
          </w:tcPr>
          <w:p w14:paraId="03F1D59A" w14:textId="2679841A"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726</w:t>
            </w:r>
          </w:p>
        </w:tc>
        <w:tc>
          <w:tcPr>
            <w:tcW w:w="1115" w:type="pct"/>
            <w:tcBorders>
              <w:top w:val="nil"/>
              <w:bottom w:val="nil"/>
            </w:tcBorders>
            <w:vAlign w:val="center"/>
          </w:tcPr>
          <w:p w14:paraId="6F9C1F5A" w14:textId="6C0750BC"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32.9</w:t>
            </w:r>
          </w:p>
        </w:tc>
      </w:tr>
      <w:tr w:rsidR="006D7DCA" w:rsidRPr="006D7DCA" w14:paraId="61171F89" w14:textId="77777777" w:rsidTr="0058345F">
        <w:trPr>
          <w:trHeight w:hRule="exact" w:val="284"/>
        </w:trPr>
        <w:tc>
          <w:tcPr>
            <w:tcW w:w="1179" w:type="pct"/>
            <w:vMerge/>
            <w:tcBorders>
              <w:top w:val="nil"/>
              <w:bottom w:val="nil"/>
            </w:tcBorders>
            <w:vAlign w:val="center"/>
          </w:tcPr>
          <w:p w14:paraId="4B5CAAC7"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nil"/>
            </w:tcBorders>
            <w:vAlign w:val="center"/>
          </w:tcPr>
          <w:p w14:paraId="3D1071CE" w14:textId="7B3967CA"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40-49 años</w:t>
            </w:r>
          </w:p>
        </w:tc>
        <w:tc>
          <w:tcPr>
            <w:tcW w:w="521" w:type="pct"/>
            <w:tcBorders>
              <w:top w:val="nil"/>
              <w:bottom w:val="nil"/>
            </w:tcBorders>
            <w:vAlign w:val="center"/>
          </w:tcPr>
          <w:p w14:paraId="3AEAB9B0" w14:textId="2669A19F"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519</w:t>
            </w:r>
          </w:p>
        </w:tc>
        <w:tc>
          <w:tcPr>
            <w:tcW w:w="1115" w:type="pct"/>
            <w:tcBorders>
              <w:top w:val="nil"/>
              <w:bottom w:val="nil"/>
            </w:tcBorders>
            <w:vAlign w:val="center"/>
          </w:tcPr>
          <w:p w14:paraId="59E26436" w14:textId="4A8804E5"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23.5</w:t>
            </w:r>
          </w:p>
        </w:tc>
      </w:tr>
      <w:tr w:rsidR="006D7DCA" w:rsidRPr="006D7DCA" w14:paraId="33EEC615" w14:textId="77777777" w:rsidTr="0058345F">
        <w:trPr>
          <w:trHeight w:hRule="exact" w:val="284"/>
        </w:trPr>
        <w:tc>
          <w:tcPr>
            <w:tcW w:w="1179" w:type="pct"/>
            <w:vMerge/>
            <w:tcBorders>
              <w:top w:val="nil"/>
              <w:bottom w:val="single" w:sz="4" w:space="0" w:color="auto"/>
            </w:tcBorders>
            <w:vAlign w:val="center"/>
          </w:tcPr>
          <w:p w14:paraId="4F21B0E5"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single" w:sz="4" w:space="0" w:color="auto"/>
            </w:tcBorders>
            <w:vAlign w:val="center"/>
          </w:tcPr>
          <w:p w14:paraId="5A8C3122" w14:textId="0FBEFA79"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 50 años</w:t>
            </w:r>
          </w:p>
        </w:tc>
        <w:tc>
          <w:tcPr>
            <w:tcW w:w="521" w:type="pct"/>
            <w:tcBorders>
              <w:top w:val="nil"/>
              <w:bottom w:val="single" w:sz="4" w:space="0" w:color="auto"/>
            </w:tcBorders>
            <w:vAlign w:val="center"/>
          </w:tcPr>
          <w:p w14:paraId="4F45CD6D" w14:textId="10FEDD30"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158</w:t>
            </w:r>
          </w:p>
        </w:tc>
        <w:tc>
          <w:tcPr>
            <w:tcW w:w="1115" w:type="pct"/>
            <w:tcBorders>
              <w:top w:val="nil"/>
              <w:bottom w:val="single" w:sz="4" w:space="0" w:color="auto"/>
            </w:tcBorders>
            <w:vAlign w:val="center"/>
          </w:tcPr>
          <w:p w14:paraId="43E6B3E7" w14:textId="3A683FD0"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7.2</w:t>
            </w:r>
          </w:p>
        </w:tc>
      </w:tr>
      <w:tr w:rsidR="006D7DCA" w:rsidRPr="006D7DCA" w14:paraId="33574122" w14:textId="77777777" w:rsidTr="0058345F">
        <w:trPr>
          <w:trHeight w:hRule="exact" w:val="284"/>
        </w:trPr>
        <w:tc>
          <w:tcPr>
            <w:tcW w:w="1179" w:type="pct"/>
            <w:vMerge w:val="restart"/>
            <w:tcBorders>
              <w:top w:val="single" w:sz="4" w:space="0" w:color="auto"/>
              <w:bottom w:val="nil"/>
            </w:tcBorders>
            <w:vAlign w:val="center"/>
          </w:tcPr>
          <w:p w14:paraId="75A7EEB4" w14:textId="020575A8"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Género</w:t>
            </w:r>
          </w:p>
        </w:tc>
        <w:tc>
          <w:tcPr>
            <w:tcW w:w="2185" w:type="pct"/>
            <w:tcBorders>
              <w:top w:val="single" w:sz="4" w:space="0" w:color="auto"/>
              <w:bottom w:val="nil"/>
            </w:tcBorders>
            <w:vAlign w:val="center"/>
          </w:tcPr>
          <w:p w14:paraId="467D6434" w14:textId="1BF07A53"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Hombre</w:t>
            </w:r>
          </w:p>
        </w:tc>
        <w:tc>
          <w:tcPr>
            <w:tcW w:w="521" w:type="pct"/>
            <w:tcBorders>
              <w:top w:val="single" w:sz="4" w:space="0" w:color="auto"/>
              <w:bottom w:val="nil"/>
            </w:tcBorders>
            <w:vAlign w:val="center"/>
          </w:tcPr>
          <w:p w14:paraId="537A0B29" w14:textId="1A58D3B4"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544</w:t>
            </w:r>
          </w:p>
        </w:tc>
        <w:tc>
          <w:tcPr>
            <w:tcW w:w="1115" w:type="pct"/>
            <w:tcBorders>
              <w:top w:val="single" w:sz="4" w:space="0" w:color="auto"/>
              <w:bottom w:val="nil"/>
            </w:tcBorders>
            <w:vAlign w:val="center"/>
          </w:tcPr>
          <w:p w14:paraId="0C0B0FCB" w14:textId="7C0E3AFE"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24.7</w:t>
            </w:r>
          </w:p>
        </w:tc>
      </w:tr>
      <w:tr w:rsidR="006D7DCA" w:rsidRPr="006D7DCA" w14:paraId="30E10CAE" w14:textId="77777777" w:rsidTr="0058345F">
        <w:trPr>
          <w:trHeight w:hRule="exact" w:val="284"/>
        </w:trPr>
        <w:tc>
          <w:tcPr>
            <w:tcW w:w="1179" w:type="pct"/>
            <w:vMerge/>
            <w:tcBorders>
              <w:top w:val="nil"/>
              <w:bottom w:val="single" w:sz="4" w:space="0" w:color="auto"/>
            </w:tcBorders>
            <w:vAlign w:val="center"/>
          </w:tcPr>
          <w:p w14:paraId="356A9124"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single" w:sz="4" w:space="0" w:color="auto"/>
            </w:tcBorders>
            <w:vAlign w:val="center"/>
          </w:tcPr>
          <w:p w14:paraId="544ED91C" w14:textId="78818C8E"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Mujer</w:t>
            </w:r>
          </w:p>
        </w:tc>
        <w:tc>
          <w:tcPr>
            <w:tcW w:w="521" w:type="pct"/>
            <w:tcBorders>
              <w:top w:val="nil"/>
              <w:bottom w:val="single" w:sz="4" w:space="0" w:color="auto"/>
            </w:tcBorders>
            <w:vAlign w:val="center"/>
          </w:tcPr>
          <w:p w14:paraId="6FEBE880" w14:textId="4DF014B0"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1660</w:t>
            </w:r>
          </w:p>
        </w:tc>
        <w:tc>
          <w:tcPr>
            <w:tcW w:w="1115" w:type="pct"/>
            <w:tcBorders>
              <w:top w:val="nil"/>
              <w:bottom w:val="single" w:sz="4" w:space="0" w:color="auto"/>
            </w:tcBorders>
            <w:vAlign w:val="center"/>
          </w:tcPr>
          <w:p w14:paraId="484374D4" w14:textId="173DDB9E"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75.3</w:t>
            </w:r>
          </w:p>
        </w:tc>
      </w:tr>
      <w:tr w:rsidR="006D7DCA" w:rsidRPr="006D7DCA" w14:paraId="12413488" w14:textId="77777777" w:rsidTr="0058345F">
        <w:trPr>
          <w:trHeight w:hRule="exact" w:val="284"/>
        </w:trPr>
        <w:tc>
          <w:tcPr>
            <w:tcW w:w="1179" w:type="pct"/>
            <w:vMerge w:val="restart"/>
            <w:tcBorders>
              <w:top w:val="single" w:sz="4" w:space="0" w:color="auto"/>
              <w:bottom w:val="nil"/>
            </w:tcBorders>
            <w:vAlign w:val="center"/>
          </w:tcPr>
          <w:p w14:paraId="44B02BD4" w14:textId="5D31D060"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Situación laboral</w:t>
            </w:r>
          </w:p>
        </w:tc>
        <w:tc>
          <w:tcPr>
            <w:tcW w:w="2185" w:type="pct"/>
            <w:tcBorders>
              <w:top w:val="single" w:sz="4" w:space="0" w:color="auto"/>
              <w:bottom w:val="nil"/>
            </w:tcBorders>
            <w:vAlign w:val="center"/>
          </w:tcPr>
          <w:p w14:paraId="358E3BD5" w14:textId="41948968"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Desempleo</w:t>
            </w:r>
          </w:p>
        </w:tc>
        <w:tc>
          <w:tcPr>
            <w:tcW w:w="521" w:type="pct"/>
            <w:tcBorders>
              <w:top w:val="single" w:sz="4" w:space="0" w:color="auto"/>
              <w:bottom w:val="nil"/>
            </w:tcBorders>
            <w:vAlign w:val="center"/>
          </w:tcPr>
          <w:p w14:paraId="2C9A2FB9" w14:textId="17D0498F"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385</w:t>
            </w:r>
          </w:p>
        </w:tc>
        <w:tc>
          <w:tcPr>
            <w:tcW w:w="1115" w:type="pct"/>
            <w:tcBorders>
              <w:top w:val="single" w:sz="4" w:space="0" w:color="auto"/>
              <w:bottom w:val="nil"/>
            </w:tcBorders>
            <w:vAlign w:val="center"/>
          </w:tcPr>
          <w:p w14:paraId="3225A1C7" w14:textId="1CB77C3A"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17.5</w:t>
            </w:r>
          </w:p>
        </w:tc>
      </w:tr>
      <w:tr w:rsidR="006D7DCA" w:rsidRPr="006D7DCA" w14:paraId="7D4F277E" w14:textId="77777777" w:rsidTr="0058345F">
        <w:trPr>
          <w:trHeight w:hRule="exact" w:val="284"/>
        </w:trPr>
        <w:tc>
          <w:tcPr>
            <w:tcW w:w="1179" w:type="pct"/>
            <w:vMerge/>
            <w:tcBorders>
              <w:top w:val="nil"/>
              <w:bottom w:val="nil"/>
            </w:tcBorders>
            <w:vAlign w:val="center"/>
          </w:tcPr>
          <w:p w14:paraId="6A88FE46"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nil"/>
            </w:tcBorders>
            <w:vAlign w:val="center"/>
          </w:tcPr>
          <w:p w14:paraId="248FBE77" w14:textId="1B93C54E"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Trabajo por cuenta propia</w:t>
            </w:r>
          </w:p>
        </w:tc>
        <w:tc>
          <w:tcPr>
            <w:tcW w:w="521" w:type="pct"/>
            <w:tcBorders>
              <w:top w:val="nil"/>
              <w:bottom w:val="nil"/>
            </w:tcBorders>
            <w:vAlign w:val="center"/>
          </w:tcPr>
          <w:p w14:paraId="398A9873" w14:textId="69E60CAD"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185</w:t>
            </w:r>
          </w:p>
        </w:tc>
        <w:tc>
          <w:tcPr>
            <w:tcW w:w="1115" w:type="pct"/>
            <w:tcBorders>
              <w:top w:val="nil"/>
              <w:bottom w:val="nil"/>
            </w:tcBorders>
            <w:vAlign w:val="center"/>
          </w:tcPr>
          <w:p w14:paraId="1507369E" w14:textId="2CC68B95"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8.4</w:t>
            </w:r>
          </w:p>
        </w:tc>
      </w:tr>
      <w:tr w:rsidR="006D7DCA" w:rsidRPr="006D7DCA" w14:paraId="7927F5E4" w14:textId="77777777" w:rsidTr="0058345F">
        <w:trPr>
          <w:trHeight w:hRule="exact" w:val="284"/>
        </w:trPr>
        <w:tc>
          <w:tcPr>
            <w:tcW w:w="1179" w:type="pct"/>
            <w:vMerge/>
            <w:tcBorders>
              <w:top w:val="nil"/>
              <w:bottom w:val="nil"/>
            </w:tcBorders>
            <w:vAlign w:val="center"/>
          </w:tcPr>
          <w:p w14:paraId="7709A2B5"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nil"/>
            </w:tcBorders>
            <w:vAlign w:val="center"/>
          </w:tcPr>
          <w:p w14:paraId="47B3FD67" w14:textId="5EDF5BD9"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Trabajo por cuenta ajena</w:t>
            </w:r>
          </w:p>
        </w:tc>
        <w:tc>
          <w:tcPr>
            <w:tcW w:w="521" w:type="pct"/>
            <w:tcBorders>
              <w:top w:val="nil"/>
              <w:bottom w:val="nil"/>
            </w:tcBorders>
            <w:vAlign w:val="center"/>
          </w:tcPr>
          <w:p w14:paraId="5F0D37CD" w14:textId="7247AC56"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1599</w:t>
            </w:r>
          </w:p>
        </w:tc>
        <w:tc>
          <w:tcPr>
            <w:tcW w:w="1115" w:type="pct"/>
            <w:tcBorders>
              <w:top w:val="nil"/>
              <w:bottom w:val="nil"/>
            </w:tcBorders>
            <w:vAlign w:val="center"/>
          </w:tcPr>
          <w:p w14:paraId="19229615" w14:textId="21BA3B64"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72.5</w:t>
            </w:r>
          </w:p>
        </w:tc>
      </w:tr>
      <w:tr w:rsidR="006D7DCA" w:rsidRPr="006D7DCA" w14:paraId="5DE9E152" w14:textId="77777777" w:rsidTr="0058345F">
        <w:trPr>
          <w:trHeight w:hRule="exact" w:val="284"/>
        </w:trPr>
        <w:tc>
          <w:tcPr>
            <w:tcW w:w="1179" w:type="pct"/>
            <w:vMerge/>
            <w:tcBorders>
              <w:top w:val="nil"/>
              <w:bottom w:val="nil"/>
            </w:tcBorders>
            <w:vAlign w:val="center"/>
          </w:tcPr>
          <w:p w14:paraId="0D1125E4"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nil"/>
            </w:tcBorders>
            <w:vAlign w:val="center"/>
          </w:tcPr>
          <w:p w14:paraId="65E74B41" w14:textId="241B9E3A"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Labores del hogar</w:t>
            </w:r>
          </w:p>
        </w:tc>
        <w:tc>
          <w:tcPr>
            <w:tcW w:w="521" w:type="pct"/>
            <w:tcBorders>
              <w:top w:val="nil"/>
              <w:bottom w:val="nil"/>
            </w:tcBorders>
            <w:vAlign w:val="center"/>
          </w:tcPr>
          <w:p w14:paraId="753EFBFD" w14:textId="1217378C"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26</w:t>
            </w:r>
          </w:p>
        </w:tc>
        <w:tc>
          <w:tcPr>
            <w:tcW w:w="1115" w:type="pct"/>
            <w:tcBorders>
              <w:top w:val="nil"/>
              <w:bottom w:val="nil"/>
            </w:tcBorders>
            <w:vAlign w:val="center"/>
          </w:tcPr>
          <w:p w14:paraId="0C561106" w14:textId="4E161698"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1.2</w:t>
            </w:r>
          </w:p>
        </w:tc>
      </w:tr>
      <w:tr w:rsidR="006D7DCA" w:rsidRPr="006D7DCA" w14:paraId="059E0C2F" w14:textId="77777777" w:rsidTr="0058345F">
        <w:trPr>
          <w:trHeight w:hRule="exact" w:val="284"/>
        </w:trPr>
        <w:tc>
          <w:tcPr>
            <w:tcW w:w="1179" w:type="pct"/>
            <w:vMerge/>
            <w:tcBorders>
              <w:top w:val="nil"/>
              <w:bottom w:val="single" w:sz="4" w:space="0" w:color="auto"/>
            </w:tcBorders>
            <w:vAlign w:val="center"/>
          </w:tcPr>
          <w:p w14:paraId="7075F528"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single" w:sz="4" w:space="0" w:color="auto"/>
            </w:tcBorders>
            <w:vAlign w:val="center"/>
          </w:tcPr>
          <w:p w14:paraId="784AEEB9" w14:textId="330135D5"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Pensionista</w:t>
            </w:r>
          </w:p>
        </w:tc>
        <w:tc>
          <w:tcPr>
            <w:tcW w:w="521" w:type="pct"/>
            <w:tcBorders>
              <w:top w:val="nil"/>
              <w:bottom w:val="single" w:sz="4" w:space="0" w:color="auto"/>
            </w:tcBorders>
            <w:vAlign w:val="center"/>
          </w:tcPr>
          <w:p w14:paraId="6DB51E53" w14:textId="7A683118"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9</w:t>
            </w:r>
          </w:p>
        </w:tc>
        <w:tc>
          <w:tcPr>
            <w:tcW w:w="1115" w:type="pct"/>
            <w:tcBorders>
              <w:top w:val="nil"/>
              <w:bottom w:val="single" w:sz="4" w:space="0" w:color="auto"/>
            </w:tcBorders>
            <w:vAlign w:val="center"/>
          </w:tcPr>
          <w:p w14:paraId="58593E60" w14:textId="5B5FA10C"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0.4</w:t>
            </w:r>
          </w:p>
        </w:tc>
      </w:tr>
      <w:tr w:rsidR="006D7DCA" w:rsidRPr="006D7DCA" w14:paraId="3FC018D9" w14:textId="77777777" w:rsidTr="0058345F">
        <w:trPr>
          <w:trHeight w:hRule="exact" w:val="284"/>
        </w:trPr>
        <w:tc>
          <w:tcPr>
            <w:tcW w:w="1179" w:type="pct"/>
            <w:vMerge w:val="restart"/>
            <w:tcBorders>
              <w:top w:val="single" w:sz="4" w:space="0" w:color="auto"/>
              <w:bottom w:val="nil"/>
            </w:tcBorders>
            <w:vAlign w:val="center"/>
          </w:tcPr>
          <w:p w14:paraId="1B462C89" w14:textId="5D72CFD5"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Hijos</w:t>
            </w:r>
          </w:p>
        </w:tc>
        <w:tc>
          <w:tcPr>
            <w:tcW w:w="2185" w:type="pct"/>
            <w:tcBorders>
              <w:top w:val="single" w:sz="4" w:space="0" w:color="auto"/>
              <w:bottom w:val="nil"/>
            </w:tcBorders>
            <w:vAlign w:val="center"/>
          </w:tcPr>
          <w:p w14:paraId="6E2745DB" w14:textId="189C0256"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0</w:t>
            </w:r>
          </w:p>
        </w:tc>
        <w:tc>
          <w:tcPr>
            <w:tcW w:w="521" w:type="pct"/>
            <w:tcBorders>
              <w:top w:val="single" w:sz="4" w:space="0" w:color="auto"/>
              <w:bottom w:val="nil"/>
            </w:tcBorders>
            <w:vAlign w:val="center"/>
          </w:tcPr>
          <w:p w14:paraId="73AFC456" w14:textId="6863261C"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1410</w:t>
            </w:r>
          </w:p>
        </w:tc>
        <w:tc>
          <w:tcPr>
            <w:tcW w:w="1115" w:type="pct"/>
            <w:tcBorders>
              <w:top w:val="single" w:sz="4" w:space="0" w:color="auto"/>
              <w:bottom w:val="nil"/>
            </w:tcBorders>
            <w:vAlign w:val="center"/>
          </w:tcPr>
          <w:p w14:paraId="390C1918" w14:textId="7332F4E2"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64</w:t>
            </w:r>
          </w:p>
        </w:tc>
      </w:tr>
      <w:tr w:rsidR="006D7DCA" w:rsidRPr="006D7DCA" w14:paraId="4861897C" w14:textId="77777777" w:rsidTr="0058345F">
        <w:trPr>
          <w:trHeight w:hRule="exact" w:val="284"/>
        </w:trPr>
        <w:tc>
          <w:tcPr>
            <w:tcW w:w="1179" w:type="pct"/>
            <w:vMerge/>
            <w:tcBorders>
              <w:top w:val="nil"/>
              <w:bottom w:val="nil"/>
            </w:tcBorders>
            <w:vAlign w:val="center"/>
          </w:tcPr>
          <w:p w14:paraId="47860F2E"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nil"/>
            </w:tcBorders>
            <w:vAlign w:val="center"/>
          </w:tcPr>
          <w:p w14:paraId="7D012316" w14:textId="34125C8F"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1</w:t>
            </w:r>
          </w:p>
        </w:tc>
        <w:tc>
          <w:tcPr>
            <w:tcW w:w="521" w:type="pct"/>
            <w:tcBorders>
              <w:top w:val="nil"/>
              <w:bottom w:val="nil"/>
            </w:tcBorders>
            <w:vAlign w:val="center"/>
          </w:tcPr>
          <w:p w14:paraId="2FABF8DB" w14:textId="12866810"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338</w:t>
            </w:r>
          </w:p>
        </w:tc>
        <w:tc>
          <w:tcPr>
            <w:tcW w:w="1115" w:type="pct"/>
            <w:tcBorders>
              <w:top w:val="nil"/>
              <w:bottom w:val="nil"/>
            </w:tcBorders>
            <w:vAlign w:val="center"/>
          </w:tcPr>
          <w:p w14:paraId="7376B8C1" w14:textId="74E84B1D"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15.3</w:t>
            </w:r>
          </w:p>
        </w:tc>
      </w:tr>
      <w:tr w:rsidR="006D7DCA" w:rsidRPr="006D7DCA" w14:paraId="0588406F" w14:textId="77777777" w:rsidTr="0058345F">
        <w:trPr>
          <w:trHeight w:hRule="exact" w:val="284"/>
        </w:trPr>
        <w:tc>
          <w:tcPr>
            <w:tcW w:w="1179" w:type="pct"/>
            <w:vMerge/>
            <w:tcBorders>
              <w:top w:val="nil"/>
              <w:bottom w:val="nil"/>
            </w:tcBorders>
            <w:vAlign w:val="center"/>
          </w:tcPr>
          <w:p w14:paraId="60E43FCC"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nil"/>
            </w:tcBorders>
            <w:vAlign w:val="center"/>
          </w:tcPr>
          <w:p w14:paraId="2F706893" w14:textId="3F75A015"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2</w:t>
            </w:r>
          </w:p>
        </w:tc>
        <w:tc>
          <w:tcPr>
            <w:tcW w:w="521" w:type="pct"/>
            <w:tcBorders>
              <w:top w:val="nil"/>
              <w:bottom w:val="nil"/>
            </w:tcBorders>
            <w:vAlign w:val="center"/>
          </w:tcPr>
          <w:p w14:paraId="0668A5B9" w14:textId="06421FDE"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359</w:t>
            </w:r>
          </w:p>
        </w:tc>
        <w:tc>
          <w:tcPr>
            <w:tcW w:w="1115" w:type="pct"/>
            <w:tcBorders>
              <w:top w:val="nil"/>
              <w:bottom w:val="nil"/>
            </w:tcBorders>
            <w:vAlign w:val="center"/>
          </w:tcPr>
          <w:p w14:paraId="77AA6745" w14:textId="45C5BC43"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16.3</w:t>
            </w:r>
          </w:p>
        </w:tc>
      </w:tr>
      <w:tr w:rsidR="006D7DCA" w:rsidRPr="006D7DCA" w14:paraId="096B2B26" w14:textId="77777777" w:rsidTr="0058345F">
        <w:trPr>
          <w:trHeight w:hRule="exact" w:val="284"/>
        </w:trPr>
        <w:tc>
          <w:tcPr>
            <w:tcW w:w="1179" w:type="pct"/>
            <w:vMerge/>
            <w:tcBorders>
              <w:top w:val="nil"/>
              <w:bottom w:val="nil"/>
            </w:tcBorders>
            <w:vAlign w:val="center"/>
          </w:tcPr>
          <w:p w14:paraId="71F9B55A"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nil"/>
            </w:tcBorders>
            <w:vAlign w:val="center"/>
          </w:tcPr>
          <w:p w14:paraId="13AF2134" w14:textId="1E8B2012"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3</w:t>
            </w:r>
          </w:p>
        </w:tc>
        <w:tc>
          <w:tcPr>
            <w:tcW w:w="521" w:type="pct"/>
            <w:tcBorders>
              <w:top w:val="nil"/>
              <w:bottom w:val="nil"/>
            </w:tcBorders>
            <w:vAlign w:val="center"/>
          </w:tcPr>
          <w:p w14:paraId="409983C2" w14:textId="27E97D3E"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84</w:t>
            </w:r>
          </w:p>
        </w:tc>
        <w:tc>
          <w:tcPr>
            <w:tcW w:w="1115" w:type="pct"/>
            <w:tcBorders>
              <w:top w:val="nil"/>
              <w:bottom w:val="nil"/>
            </w:tcBorders>
            <w:vAlign w:val="center"/>
          </w:tcPr>
          <w:p w14:paraId="5C608856" w14:textId="419C06A4"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3.8</w:t>
            </w:r>
          </w:p>
        </w:tc>
      </w:tr>
      <w:tr w:rsidR="006D7DCA" w:rsidRPr="006D7DCA" w14:paraId="529B773A" w14:textId="77777777" w:rsidTr="0058345F">
        <w:trPr>
          <w:trHeight w:hRule="exact" w:val="284"/>
        </w:trPr>
        <w:tc>
          <w:tcPr>
            <w:tcW w:w="1179" w:type="pct"/>
            <w:vMerge/>
            <w:tcBorders>
              <w:top w:val="nil"/>
              <w:bottom w:val="single" w:sz="4" w:space="0" w:color="auto"/>
            </w:tcBorders>
            <w:vAlign w:val="center"/>
          </w:tcPr>
          <w:p w14:paraId="6F6311C4" w14:textId="77777777" w:rsidR="0058345F" w:rsidRPr="006D7DCA" w:rsidRDefault="0058345F" w:rsidP="00AC3897">
            <w:pPr>
              <w:rPr>
                <w:rFonts w:ascii="Times New Roman" w:eastAsia="Calibri" w:hAnsi="Times New Roman" w:cs="Times New Roman"/>
                <w:sz w:val="18"/>
                <w:szCs w:val="18"/>
              </w:rPr>
            </w:pPr>
          </w:p>
        </w:tc>
        <w:tc>
          <w:tcPr>
            <w:tcW w:w="2185" w:type="pct"/>
            <w:tcBorders>
              <w:top w:val="nil"/>
              <w:bottom w:val="single" w:sz="4" w:space="0" w:color="auto"/>
            </w:tcBorders>
            <w:vAlign w:val="center"/>
          </w:tcPr>
          <w:p w14:paraId="46AD788D" w14:textId="168D31B6"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4 o más</w:t>
            </w:r>
          </w:p>
        </w:tc>
        <w:tc>
          <w:tcPr>
            <w:tcW w:w="521" w:type="pct"/>
            <w:tcBorders>
              <w:top w:val="nil"/>
              <w:bottom w:val="single" w:sz="4" w:space="0" w:color="auto"/>
            </w:tcBorders>
            <w:vAlign w:val="center"/>
          </w:tcPr>
          <w:p w14:paraId="07F685E1" w14:textId="30B358AA"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12</w:t>
            </w:r>
          </w:p>
        </w:tc>
        <w:tc>
          <w:tcPr>
            <w:tcW w:w="1115" w:type="pct"/>
            <w:tcBorders>
              <w:top w:val="nil"/>
              <w:bottom w:val="single" w:sz="4" w:space="0" w:color="auto"/>
            </w:tcBorders>
            <w:vAlign w:val="center"/>
          </w:tcPr>
          <w:p w14:paraId="177AB540" w14:textId="53B7540B"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0.8</w:t>
            </w:r>
          </w:p>
        </w:tc>
      </w:tr>
      <w:tr w:rsidR="006D7DCA" w:rsidRPr="006D7DCA" w14:paraId="14E3760F" w14:textId="77777777" w:rsidTr="0058345F">
        <w:trPr>
          <w:trHeight w:hRule="exact" w:val="284"/>
        </w:trPr>
        <w:tc>
          <w:tcPr>
            <w:tcW w:w="1179" w:type="pct"/>
            <w:vMerge w:val="restart"/>
            <w:tcBorders>
              <w:top w:val="single" w:sz="4" w:space="0" w:color="auto"/>
            </w:tcBorders>
            <w:vAlign w:val="center"/>
          </w:tcPr>
          <w:p w14:paraId="157F9532" w14:textId="69773344"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Residencia habitual</w:t>
            </w:r>
          </w:p>
        </w:tc>
        <w:tc>
          <w:tcPr>
            <w:tcW w:w="2185" w:type="pct"/>
            <w:tcBorders>
              <w:top w:val="single" w:sz="4" w:space="0" w:color="auto"/>
            </w:tcBorders>
            <w:vAlign w:val="center"/>
          </w:tcPr>
          <w:p w14:paraId="5A8B5F87" w14:textId="29C02F22"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Domicilio familiar</w:t>
            </w:r>
          </w:p>
        </w:tc>
        <w:tc>
          <w:tcPr>
            <w:tcW w:w="521" w:type="pct"/>
            <w:tcBorders>
              <w:top w:val="single" w:sz="4" w:space="0" w:color="auto"/>
            </w:tcBorders>
            <w:vAlign w:val="center"/>
          </w:tcPr>
          <w:p w14:paraId="2FDC9902" w14:textId="2D318DE5"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577</w:t>
            </w:r>
          </w:p>
        </w:tc>
        <w:tc>
          <w:tcPr>
            <w:tcW w:w="1115" w:type="pct"/>
            <w:tcBorders>
              <w:top w:val="single" w:sz="4" w:space="0" w:color="auto"/>
            </w:tcBorders>
            <w:vAlign w:val="center"/>
          </w:tcPr>
          <w:p w14:paraId="3CE6A8D6" w14:textId="3E9C8D56"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26.2</w:t>
            </w:r>
          </w:p>
        </w:tc>
      </w:tr>
      <w:tr w:rsidR="006D7DCA" w:rsidRPr="006D7DCA" w14:paraId="32188C79" w14:textId="77777777" w:rsidTr="0058345F">
        <w:trPr>
          <w:trHeight w:hRule="exact" w:val="284"/>
        </w:trPr>
        <w:tc>
          <w:tcPr>
            <w:tcW w:w="1179" w:type="pct"/>
            <w:vMerge/>
            <w:vAlign w:val="center"/>
          </w:tcPr>
          <w:p w14:paraId="7534DAD0" w14:textId="77777777" w:rsidR="0058345F" w:rsidRPr="006D7DCA" w:rsidRDefault="0058345F" w:rsidP="00AC3897">
            <w:pPr>
              <w:rPr>
                <w:rFonts w:ascii="Times New Roman" w:eastAsia="Calibri" w:hAnsi="Times New Roman" w:cs="Times New Roman"/>
                <w:sz w:val="18"/>
                <w:szCs w:val="18"/>
              </w:rPr>
            </w:pPr>
          </w:p>
        </w:tc>
        <w:tc>
          <w:tcPr>
            <w:tcW w:w="2185" w:type="pct"/>
            <w:vAlign w:val="center"/>
          </w:tcPr>
          <w:p w14:paraId="07BB54B4" w14:textId="3BE0F025"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Vivienda independiente</w:t>
            </w:r>
          </w:p>
        </w:tc>
        <w:tc>
          <w:tcPr>
            <w:tcW w:w="521" w:type="pct"/>
            <w:vAlign w:val="center"/>
          </w:tcPr>
          <w:p w14:paraId="38AD29AD" w14:textId="017CDD7A"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307</w:t>
            </w:r>
          </w:p>
        </w:tc>
        <w:tc>
          <w:tcPr>
            <w:tcW w:w="1115" w:type="pct"/>
            <w:vAlign w:val="center"/>
          </w:tcPr>
          <w:p w14:paraId="662492BC" w14:textId="4F8DE6A8"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13.9</w:t>
            </w:r>
          </w:p>
        </w:tc>
      </w:tr>
      <w:tr w:rsidR="006D7DCA" w:rsidRPr="006D7DCA" w14:paraId="602F5DBB" w14:textId="77777777" w:rsidTr="0058345F">
        <w:trPr>
          <w:trHeight w:hRule="exact" w:val="284"/>
        </w:trPr>
        <w:tc>
          <w:tcPr>
            <w:tcW w:w="1179" w:type="pct"/>
            <w:vMerge/>
            <w:vAlign w:val="center"/>
          </w:tcPr>
          <w:p w14:paraId="72D1C283" w14:textId="77777777" w:rsidR="0058345F" w:rsidRPr="006D7DCA" w:rsidRDefault="0058345F" w:rsidP="00AC3897">
            <w:pPr>
              <w:rPr>
                <w:rFonts w:ascii="Times New Roman" w:eastAsia="Calibri" w:hAnsi="Times New Roman" w:cs="Times New Roman"/>
                <w:sz w:val="18"/>
                <w:szCs w:val="18"/>
              </w:rPr>
            </w:pPr>
          </w:p>
        </w:tc>
        <w:tc>
          <w:tcPr>
            <w:tcW w:w="2185" w:type="pct"/>
            <w:vAlign w:val="center"/>
          </w:tcPr>
          <w:p w14:paraId="74202382" w14:textId="32B99F28"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Vivienda compartida con amistades</w:t>
            </w:r>
          </w:p>
        </w:tc>
        <w:tc>
          <w:tcPr>
            <w:tcW w:w="521" w:type="pct"/>
            <w:vAlign w:val="center"/>
          </w:tcPr>
          <w:p w14:paraId="0FFF1F40" w14:textId="4CD84CA9"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81</w:t>
            </w:r>
          </w:p>
        </w:tc>
        <w:tc>
          <w:tcPr>
            <w:tcW w:w="1115" w:type="pct"/>
            <w:vAlign w:val="center"/>
          </w:tcPr>
          <w:p w14:paraId="495E98D1" w14:textId="38B117A6"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3.7</w:t>
            </w:r>
          </w:p>
        </w:tc>
      </w:tr>
      <w:tr w:rsidR="006D7DCA" w:rsidRPr="006D7DCA" w14:paraId="18028443" w14:textId="77777777" w:rsidTr="0058345F">
        <w:trPr>
          <w:trHeight w:hRule="exact" w:val="284"/>
        </w:trPr>
        <w:tc>
          <w:tcPr>
            <w:tcW w:w="1179" w:type="pct"/>
            <w:vMerge/>
            <w:vAlign w:val="center"/>
          </w:tcPr>
          <w:p w14:paraId="142BAE3F" w14:textId="77777777" w:rsidR="0058345F" w:rsidRPr="006D7DCA" w:rsidRDefault="0058345F" w:rsidP="00AC3897">
            <w:pPr>
              <w:rPr>
                <w:rFonts w:ascii="Times New Roman" w:eastAsia="Calibri" w:hAnsi="Times New Roman" w:cs="Times New Roman"/>
                <w:sz w:val="18"/>
                <w:szCs w:val="18"/>
              </w:rPr>
            </w:pPr>
          </w:p>
        </w:tc>
        <w:tc>
          <w:tcPr>
            <w:tcW w:w="2185" w:type="pct"/>
            <w:vAlign w:val="center"/>
          </w:tcPr>
          <w:p w14:paraId="6AC85C29" w14:textId="016AA5D5"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Vivienda compartida con la pareja</w:t>
            </w:r>
          </w:p>
        </w:tc>
        <w:tc>
          <w:tcPr>
            <w:tcW w:w="521" w:type="pct"/>
            <w:vAlign w:val="center"/>
          </w:tcPr>
          <w:p w14:paraId="2384705B" w14:textId="581E3BE3"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1230</w:t>
            </w:r>
          </w:p>
        </w:tc>
        <w:tc>
          <w:tcPr>
            <w:tcW w:w="1115" w:type="pct"/>
            <w:vAlign w:val="center"/>
          </w:tcPr>
          <w:p w14:paraId="2AD7166C" w14:textId="12580E5C"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55.8</w:t>
            </w:r>
          </w:p>
        </w:tc>
      </w:tr>
      <w:tr w:rsidR="006D7DCA" w:rsidRPr="006D7DCA" w14:paraId="5658C5B9" w14:textId="77777777" w:rsidTr="0058345F">
        <w:trPr>
          <w:trHeight w:hRule="exact" w:val="284"/>
        </w:trPr>
        <w:tc>
          <w:tcPr>
            <w:tcW w:w="1179" w:type="pct"/>
            <w:vMerge/>
            <w:vAlign w:val="center"/>
          </w:tcPr>
          <w:p w14:paraId="3398CF43" w14:textId="77777777" w:rsidR="0058345F" w:rsidRPr="006D7DCA" w:rsidRDefault="0058345F" w:rsidP="00AC3897">
            <w:pPr>
              <w:rPr>
                <w:rFonts w:ascii="Times New Roman" w:eastAsia="Calibri" w:hAnsi="Times New Roman" w:cs="Times New Roman"/>
                <w:sz w:val="18"/>
                <w:szCs w:val="18"/>
              </w:rPr>
            </w:pPr>
          </w:p>
        </w:tc>
        <w:tc>
          <w:tcPr>
            <w:tcW w:w="2185" w:type="pct"/>
            <w:vAlign w:val="center"/>
          </w:tcPr>
          <w:p w14:paraId="08541DC7" w14:textId="5935DD99" w:rsidR="0058345F" w:rsidRPr="006D7DCA" w:rsidRDefault="0058345F" w:rsidP="00AC3897">
            <w:pPr>
              <w:rPr>
                <w:rFonts w:ascii="Times New Roman" w:eastAsia="Calibri" w:hAnsi="Times New Roman" w:cs="Times New Roman"/>
                <w:sz w:val="18"/>
                <w:szCs w:val="18"/>
              </w:rPr>
            </w:pPr>
            <w:r w:rsidRPr="006D7DCA">
              <w:rPr>
                <w:rFonts w:ascii="Times New Roman" w:eastAsia="Calibri" w:hAnsi="Times New Roman" w:cs="Times New Roman"/>
                <w:sz w:val="18"/>
                <w:szCs w:val="18"/>
              </w:rPr>
              <w:t>Residencia universitaria</w:t>
            </w:r>
          </w:p>
        </w:tc>
        <w:tc>
          <w:tcPr>
            <w:tcW w:w="521" w:type="pct"/>
            <w:vAlign w:val="center"/>
          </w:tcPr>
          <w:p w14:paraId="1E070601" w14:textId="1AEC58B2"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9</w:t>
            </w:r>
          </w:p>
        </w:tc>
        <w:tc>
          <w:tcPr>
            <w:tcW w:w="1115" w:type="pct"/>
            <w:vAlign w:val="center"/>
          </w:tcPr>
          <w:p w14:paraId="0E7E1C5F" w14:textId="6A926A79" w:rsidR="0058345F" w:rsidRPr="006D7DCA" w:rsidRDefault="0058345F" w:rsidP="0058345F">
            <w:pPr>
              <w:jc w:val="center"/>
              <w:rPr>
                <w:rFonts w:ascii="Times New Roman" w:eastAsia="Calibri" w:hAnsi="Times New Roman" w:cs="Times New Roman"/>
                <w:sz w:val="18"/>
                <w:szCs w:val="18"/>
              </w:rPr>
            </w:pPr>
            <w:r w:rsidRPr="006D7DCA">
              <w:rPr>
                <w:rFonts w:ascii="Times New Roman" w:eastAsia="Calibri" w:hAnsi="Times New Roman" w:cs="Times New Roman"/>
                <w:sz w:val="18"/>
                <w:szCs w:val="18"/>
              </w:rPr>
              <w:t>0.4</w:t>
            </w:r>
          </w:p>
        </w:tc>
      </w:tr>
    </w:tbl>
    <w:p w14:paraId="7C85282A" w14:textId="58C4631B" w:rsidR="00171BC2" w:rsidRPr="006D7DCA" w:rsidRDefault="0058345F" w:rsidP="006734DA">
      <w:pPr>
        <w:spacing w:before="240"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En relación con la sintomatología psicológica, el 31.62% del estudiantado presentó algún grado de estrés, el 32.30% de ansiedad y el 27.22% de depresión. A partir de esta distribución de la muestra en función de los niveles de estrés, ansiedad y depresión, se analizaron las diferencias en los hábitos de vida del estudiantado universitario.</w:t>
      </w:r>
      <w:r w:rsidR="004B710E" w:rsidRPr="006D7DCA">
        <w:rPr>
          <w:rFonts w:ascii="Times New Roman" w:eastAsia="Calibri" w:hAnsi="Times New Roman" w:cs="Times New Roman"/>
          <w:sz w:val="22"/>
          <w:szCs w:val="22"/>
        </w:rPr>
        <w:t xml:space="preserve"> La Tabla </w:t>
      </w:r>
      <w:r w:rsidR="00166475" w:rsidRPr="006D7DCA">
        <w:rPr>
          <w:rFonts w:ascii="Times New Roman" w:eastAsia="Calibri" w:hAnsi="Times New Roman" w:cs="Times New Roman"/>
          <w:sz w:val="22"/>
          <w:szCs w:val="22"/>
        </w:rPr>
        <w:t>2</w:t>
      </w:r>
      <w:r w:rsidR="004B710E" w:rsidRPr="006D7DCA">
        <w:rPr>
          <w:rFonts w:ascii="Times New Roman" w:eastAsia="Calibri" w:hAnsi="Times New Roman" w:cs="Times New Roman"/>
          <w:sz w:val="22"/>
          <w:szCs w:val="22"/>
        </w:rPr>
        <w:t xml:space="preserve"> presenta los resultados relativos a los hábitos de vida del estudiantado universitario en función de sus niveles de estrés, ansiedad y depresión. Los resultados mostraron que el estudiantado con niveles severos o extremadamente severos de estas condiciones presentó menores niveles de actividad física y una menor adherencia a la dieta mediterránea. Asimismo, se registraron valores más elevados de tiempo de pantalla y puntuaciones más altas en mala calidad del sueño entre el estudiantado con mayores niveles de estrés, ansiedad y depresión.</w:t>
      </w:r>
    </w:p>
    <w:p w14:paraId="1B62D0D7" w14:textId="26FE611E" w:rsidR="00171BC2" w:rsidRPr="006D7DCA" w:rsidRDefault="00171BC2" w:rsidP="00171BC2">
      <w:pPr>
        <w:spacing w:line="256" w:lineRule="auto"/>
        <w:rPr>
          <w:rFonts w:ascii="Times New Roman" w:eastAsia="Calibri" w:hAnsi="Times New Roman" w:cs="Times New Roman"/>
          <w:sz w:val="22"/>
          <w:szCs w:val="22"/>
        </w:rPr>
      </w:pPr>
      <w:bookmarkStart w:id="2" w:name="_Hlk189762500"/>
      <w:r w:rsidRPr="006D7DCA">
        <w:rPr>
          <w:rFonts w:ascii="Times New Roman" w:eastAsia="Calibri" w:hAnsi="Times New Roman" w:cs="Times New Roman"/>
          <w:b/>
          <w:bCs/>
          <w:sz w:val="22"/>
          <w:szCs w:val="22"/>
        </w:rPr>
        <w:t xml:space="preserve">Tabla </w:t>
      </w:r>
      <w:r w:rsidR="00166475" w:rsidRPr="006D7DCA">
        <w:rPr>
          <w:rFonts w:ascii="Times New Roman" w:eastAsia="Calibri" w:hAnsi="Times New Roman" w:cs="Times New Roman"/>
          <w:b/>
          <w:bCs/>
          <w:sz w:val="22"/>
          <w:szCs w:val="22"/>
        </w:rPr>
        <w:t>2</w:t>
      </w:r>
      <w:r w:rsidRPr="006D7DCA">
        <w:rPr>
          <w:rFonts w:ascii="Times New Roman" w:eastAsia="Calibri" w:hAnsi="Times New Roman" w:cs="Times New Roman"/>
          <w:b/>
          <w:bCs/>
          <w:sz w:val="22"/>
          <w:szCs w:val="22"/>
        </w:rPr>
        <w:t>.</w:t>
      </w:r>
      <w:r w:rsidRPr="006D7DCA">
        <w:rPr>
          <w:rFonts w:ascii="Calibri" w:eastAsia="Calibri" w:hAnsi="Calibri" w:cs="Times New Roman"/>
          <w:sz w:val="22"/>
          <w:szCs w:val="22"/>
        </w:rPr>
        <w:t xml:space="preserve"> </w:t>
      </w:r>
      <w:r w:rsidR="001A3829" w:rsidRPr="006D7DCA">
        <w:rPr>
          <w:rFonts w:ascii="Times New Roman" w:eastAsia="Calibri" w:hAnsi="Times New Roman" w:cs="Times New Roman"/>
          <w:i/>
          <w:iCs/>
          <w:sz w:val="22"/>
          <w:szCs w:val="22"/>
        </w:rPr>
        <w:t>Hábitos de vida en función de los niveles de estrés, ansiedad y depresión del estudiantado universitario</w:t>
      </w:r>
    </w:p>
    <w:tbl>
      <w:tblPr>
        <w:tblW w:w="5000" w:type="pct"/>
        <w:jc w:val="center"/>
        <w:tblBorders>
          <w:top w:val="single" w:sz="4" w:space="0" w:color="auto"/>
          <w:bottom w:val="single" w:sz="4" w:space="0" w:color="auto"/>
        </w:tblBorders>
        <w:tblCellMar>
          <w:left w:w="28" w:type="dxa"/>
          <w:right w:w="28" w:type="dxa"/>
        </w:tblCellMar>
        <w:tblLook w:val="04A0" w:firstRow="1" w:lastRow="0" w:firstColumn="1" w:lastColumn="0" w:noHBand="0" w:noVBand="1"/>
      </w:tblPr>
      <w:tblGrid>
        <w:gridCol w:w="892"/>
        <w:gridCol w:w="543"/>
        <w:gridCol w:w="582"/>
        <w:gridCol w:w="862"/>
        <w:gridCol w:w="912"/>
        <w:gridCol w:w="582"/>
        <w:gridCol w:w="862"/>
        <w:gridCol w:w="913"/>
        <w:gridCol w:w="582"/>
        <w:gridCol w:w="862"/>
        <w:gridCol w:w="912"/>
      </w:tblGrid>
      <w:tr w:rsidR="006D7DCA" w:rsidRPr="006D7DCA" w14:paraId="34C1495D" w14:textId="77777777" w:rsidTr="00DE401D">
        <w:trPr>
          <w:trHeight w:val="490"/>
          <w:jc w:val="center"/>
        </w:trPr>
        <w:tc>
          <w:tcPr>
            <w:tcW w:w="524" w:type="pct"/>
            <w:tcBorders>
              <w:bottom w:val="nil"/>
            </w:tcBorders>
            <w:vAlign w:val="center"/>
          </w:tcPr>
          <w:p w14:paraId="38F28C11"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19" w:type="pct"/>
            <w:tcBorders>
              <w:bottom w:val="nil"/>
            </w:tcBorders>
            <w:vAlign w:val="center"/>
          </w:tcPr>
          <w:p w14:paraId="4BF43859" w14:textId="77777777" w:rsidR="00171BC2" w:rsidRPr="006D7DCA" w:rsidRDefault="00171BC2" w:rsidP="00171BC2">
            <w:pPr>
              <w:spacing w:after="0" w:line="256" w:lineRule="auto"/>
              <w:jc w:val="center"/>
              <w:rPr>
                <w:rFonts w:ascii="Times New Roman" w:eastAsia="Calibri" w:hAnsi="Times New Roman" w:cs="Times New Roman"/>
                <w:sz w:val="16"/>
                <w:szCs w:val="16"/>
              </w:rPr>
            </w:pPr>
          </w:p>
        </w:tc>
        <w:tc>
          <w:tcPr>
            <w:tcW w:w="1385" w:type="pct"/>
            <w:gridSpan w:val="3"/>
            <w:tcBorders>
              <w:top w:val="single" w:sz="4" w:space="0" w:color="auto"/>
              <w:bottom w:val="single" w:sz="4" w:space="0" w:color="auto"/>
              <w:right w:val="single" w:sz="4" w:space="0" w:color="auto"/>
            </w:tcBorders>
            <w:vAlign w:val="center"/>
            <w:hideMark/>
          </w:tcPr>
          <w:p w14:paraId="732295CE" w14:textId="5384FDA1" w:rsidR="00171BC2"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Estrés</w:t>
            </w:r>
          </w:p>
        </w:tc>
        <w:tc>
          <w:tcPr>
            <w:tcW w:w="1386" w:type="pct"/>
            <w:gridSpan w:val="3"/>
            <w:tcBorders>
              <w:top w:val="single" w:sz="4" w:space="0" w:color="auto"/>
              <w:left w:val="single" w:sz="4" w:space="0" w:color="auto"/>
              <w:bottom w:val="single" w:sz="4" w:space="0" w:color="auto"/>
              <w:right w:val="single" w:sz="4" w:space="0" w:color="auto"/>
            </w:tcBorders>
            <w:vAlign w:val="center"/>
            <w:hideMark/>
          </w:tcPr>
          <w:p w14:paraId="10D9FA1F" w14:textId="53275183" w:rsidR="00171BC2"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Ansiedad</w:t>
            </w:r>
          </w:p>
        </w:tc>
        <w:tc>
          <w:tcPr>
            <w:tcW w:w="1385" w:type="pct"/>
            <w:gridSpan w:val="3"/>
            <w:tcBorders>
              <w:top w:val="single" w:sz="4" w:space="0" w:color="auto"/>
              <w:left w:val="single" w:sz="4" w:space="0" w:color="auto"/>
              <w:bottom w:val="single" w:sz="4" w:space="0" w:color="auto"/>
            </w:tcBorders>
            <w:vAlign w:val="center"/>
            <w:hideMark/>
          </w:tcPr>
          <w:p w14:paraId="155D3B86" w14:textId="274C26D2" w:rsidR="00171BC2"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Depresión</w:t>
            </w:r>
          </w:p>
        </w:tc>
      </w:tr>
      <w:tr w:rsidR="006D7DCA" w:rsidRPr="006D7DCA" w14:paraId="7DEB4DD4" w14:textId="77777777" w:rsidTr="00DE401D">
        <w:trPr>
          <w:trHeight w:val="520"/>
          <w:jc w:val="center"/>
        </w:trPr>
        <w:tc>
          <w:tcPr>
            <w:tcW w:w="524" w:type="pct"/>
            <w:tcBorders>
              <w:top w:val="nil"/>
              <w:bottom w:val="single" w:sz="4" w:space="0" w:color="auto"/>
            </w:tcBorders>
            <w:vAlign w:val="center"/>
          </w:tcPr>
          <w:p w14:paraId="76284BC6" w14:textId="77777777"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19" w:type="pct"/>
            <w:tcBorders>
              <w:top w:val="nil"/>
              <w:bottom w:val="single" w:sz="4" w:space="0" w:color="auto"/>
            </w:tcBorders>
            <w:vAlign w:val="center"/>
          </w:tcPr>
          <w:p w14:paraId="02EFE6B7" w14:textId="77777777"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42" w:type="pct"/>
            <w:tcBorders>
              <w:top w:val="single" w:sz="4" w:space="0" w:color="auto"/>
              <w:bottom w:val="single" w:sz="4" w:space="0" w:color="auto"/>
            </w:tcBorders>
            <w:vAlign w:val="center"/>
            <w:hideMark/>
          </w:tcPr>
          <w:p w14:paraId="4611D70E"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Normal</w:t>
            </w:r>
          </w:p>
          <w:p w14:paraId="72EFDD05" w14:textId="66D71D60"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507" w:type="pct"/>
            <w:tcBorders>
              <w:top w:val="single" w:sz="4" w:space="0" w:color="auto"/>
              <w:bottom w:val="single" w:sz="4" w:space="0" w:color="auto"/>
            </w:tcBorders>
            <w:vAlign w:val="center"/>
            <w:hideMark/>
          </w:tcPr>
          <w:p w14:paraId="35741040"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Leve/ moderado</w:t>
            </w:r>
          </w:p>
          <w:p w14:paraId="2F6EC8FC" w14:textId="74D48FF7"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536" w:type="pct"/>
            <w:tcBorders>
              <w:top w:val="single" w:sz="4" w:space="0" w:color="auto"/>
              <w:bottom w:val="single" w:sz="4" w:space="0" w:color="auto"/>
              <w:right w:val="single" w:sz="4" w:space="0" w:color="auto"/>
            </w:tcBorders>
            <w:vAlign w:val="center"/>
            <w:hideMark/>
          </w:tcPr>
          <w:p w14:paraId="40A02AC3"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Severo/ </w:t>
            </w:r>
          </w:p>
          <w:p w14:paraId="5B954791"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Ex. severo</w:t>
            </w:r>
          </w:p>
          <w:p w14:paraId="3BB56393" w14:textId="0B2A145D"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42" w:type="pct"/>
            <w:tcBorders>
              <w:top w:val="single" w:sz="4" w:space="0" w:color="auto"/>
              <w:left w:val="single" w:sz="4" w:space="0" w:color="auto"/>
              <w:bottom w:val="single" w:sz="4" w:space="0" w:color="auto"/>
            </w:tcBorders>
            <w:vAlign w:val="center"/>
            <w:hideMark/>
          </w:tcPr>
          <w:p w14:paraId="2830E383"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Normal</w:t>
            </w:r>
          </w:p>
          <w:p w14:paraId="4AA9EB37" w14:textId="3E66621B"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507" w:type="pct"/>
            <w:tcBorders>
              <w:top w:val="single" w:sz="4" w:space="0" w:color="auto"/>
              <w:bottom w:val="single" w:sz="4" w:space="0" w:color="auto"/>
            </w:tcBorders>
            <w:vAlign w:val="center"/>
            <w:hideMark/>
          </w:tcPr>
          <w:p w14:paraId="7694E251"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Leve/ moderado</w:t>
            </w:r>
          </w:p>
          <w:p w14:paraId="7AC920B7" w14:textId="2CD6034F"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537" w:type="pct"/>
            <w:tcBorders>
              <w:top w:val="single" w:sz="4" w:space="0" w:color="auto"/>
              <w:bottom w:val="single" w:sz="4" w:space="0" w:color="auto"/>
              <w:right w:val="single" w:sz="4" w:space="0" w:color="auto"/>
            </w:tcBorders>
            <w:vAlign w:val="center"/>
            <w:hideMark/>
          </w:tcPr>
          <w:p w14:paraId="2ED1C784"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Severo/ </w:t>
            </w:r>
          </w:p>
          <w:p w14:paraId="48BB3370" w14:textId="667B3CB9"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Ex. severo</w:t>
            </w:r>
          </w:p>
          <w:p w14:paraId="3D45E8E0" w14:textId="0376683D"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42" w:type="pct"/>
            <w:tcBorders>
              <w:top w:val="single" w:sz="4" w:space="0" w:color="auto"/>
              <w:left w:val="single" w:sz="4" w:space="0" w:color="auto"/>
              <w:bottom w:val="single" w:sz="4" w:space="0" w:color="auto"/>
            </w:tcBorders>
            <w:vAlign w:val="center"/>
            <w:hideMark/>
          </w:tcPr>
          <w:p w14:paraId="710C164F"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Normal</w:t>
            </w:r>
          </w:p>
          <w:p w14:paraId="2BE2DA7A" w14:textId="1FA46C5A"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507" w:type="pct"/>
            <w:tcBorders>
              <w:top w:val="single" w:sz="4" w:space="0" w:color="auto"/>
              <w:bottom w:val="single" w:sz="4" w:space="0" w:color="auto"/>
            </w:tcBorders>
            <w:vAlign w:val="center"/>
            <w:hideMark/>
          </w:tcPr>
          <w:p w14:paraId="77C0C204"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Leve/ moderado</w:t>
            </w:r>
          </w:p>
          <w:p w14:paraId="2904EB83" w14:textId="793EBBFF"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536" w:type="pct"/>
            <w:tcBorders>
              <w:top w:val="single" w:sz="4" w:space="0" w:color="auto"/>
              <w:bottom w:val="single" w:sz="4" w:space="0" w:color="auto"/>
            </w:tcBorders>
            <w:vAlign w:val="center"/>
            <w:hideMark/>
          </w:tcPr>
          <w:p w14:paraId="38E01441"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Severo/ </w:t>
            </w:r>
          </w:p>
          <w:p w14:paraId="0775E4BF"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Ex. severo</w:t>
            </w:r>
          </w:p>
          <w:p w14:paraId="6E20DDD6" w14:textId="4D5E188C" w:rsidR="00166475" w:rsidRPr="006D7DCA" w:rsidRDefault="00166475" w:rsidP="00166475">
            <w:pPr>
              <w:spacing w:after="0" w:line="256" w:lineRule="auto"/>
              <w:jc w:val="center"/>
              <w:rPr>
                <w:rFonts w:ascii="Times New Roman" w:eastAsia="Calibri" w:hAnsi="Times New Roman" w:cs="Times New Roman"/>
                <w:sz w:val="16"/>
                <w:szCs w:val="16"/>
              </w:rPr>
            </w:pPr>
          </w:p>
        </w:tc>
      </w:tr>
      <w:tr w:rsidR="006D7DCA" w:rsidRPr="006D7DCA" w14:paraId="2DCBF905" w14:textId="77777777" w:rsidTr="00DE401D">
        <w:trPr>
          <w:trHeight w:val="520"/>
          <w:jc w:val="center"/>
        </w:trPr>
        <w:tc>
          <w:tcPr>
            <w:tcW w:w="524" w:type="pct"/>
            <w:tcBorders>
              <w:top w:val="single" w:sz="4" w:space="0" w:color="auto"/>
              <w:bottom w:val="single" w:sz="4" w:space="0" w:color="auto"/>
            </w:tcBorders>
            <w:vAlign w:val="center"/>
          </w:tcPr>
          <w:p w14:paraId="5ED37868" w14:textId="77777777" w:rsidR="001A3829" w:rsidRPr="006D7DCA" w:rsidRDefault="001A3829" w:rsidP="00171BC2">
            <w:pPr>
              <w:spacing w:after="0" w:line="256" w:lineRule="auto"/>
              <w:jc w:val="center"/>
              <w:rPr>
                <w:rFonts w:ascii="Times New Roman" w:eastAsia="Calibri" w:hAnsi="Times New Roman" w:cs="Times New Roman"/>
                <w:sz w:val="16"/>
                <w:szCs w:val="16"/>
              </w:rPr>
            </w:pPr>
          </w:p>
        </w:tc>
        <w:tc>
          <w:tcPr>
            <w:tcW w:w="319" w:type="pct"/>
            <w:tcBorders>
              <w:top w:val="single" w:sz="4" w:space="0" w:color="auto"/>
              <w:bottom w:val="single" w:sz="4" w:space="0" w:color="auto"/>
            </w:tcBorders>
            <w:vAlign w:val="center"/>
          </w:tcPr>
          <w:p w14:paraId="71BF2211" w14:textId="77777777" w:rsidR="001A3829" w:rsidRPr="006D7DCA" w:rsidRDefault="001A3829" w:rsidP="00171BC2">
            <w:pPr>
              <w:spacing w:after="0" w:line="256" w:lineRule="auto"/>
              <w:jc w:val="center"/>
              <w:rPr>
                <w:rFonts w:ascii="Times New Roman" w:eastAsia="Calibri" w:hAnsi="Times New Roman" w:cs="Times New Roman"/>
                <w:sz w:val="16"/>
                <w:szCs w:val="16"/>
              </w:rPr>
            </w:pPr>
          </w:p>
        </w:tc>
        <w:tc>
          <w:tcPr>
            <w:tcW w:w="342" w:type="pct"/>
            <w:tcBorders>
              <w:top w:val="single" w:sz="4" w:space="0" w:color="auto"/>
              <w:bottom w:val="single" w:sz="4" w:space="0" w:color="auto"/>
            </w:tcBorders>
            <w:vAlign w:val="center"/>
          </w:tcPr>
          <w:p w14:paraId="4C8AE2C8" w14:textId="658EC869"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N=1507</w:t>
            </w:r>
          </w:p>
        </w:tc>
        <w:tc>
          <w:tcPr>
            <w:tcW w:w="507" w:type="pct"/>
            <w:tcBorders>
              <w:top w:val="single" w:sz="4" w:space="0" w:color="auto"/>
              <w:bottom w:val="single" w:sz="4" w:space="0" w:color="auto"/>
            </w:tcBorders>
            <w:vAlign w:val="center"/>
          </w:tcPr>
          <w:p w14:paraId="072AEF32" w14:textId="19A3FDE7"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N=488</w:t>
            </w:r>
          </w:p>
        </w:tc>
        <w:tc>
          <w:tcPr>
            <w:tcW w:w="536" w:type="pct"/>
            <w:tcBorders>
              <w:top w:val="single" w:sz="4" w:space="0" w:color="auto"/>
              <w:bottom w:val="single" w:sz="4" w:space="0" w:color="auto"/>
              <w:right w:val="single" w:sz="4" w:space="0" w:color="auto"/>
            </w:tcBorders>
            <w:vAlign w:val="center"/>
          </w:tcPr>
          <w:p w14:paraId="15271128" w14:textId="685BD966"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N=209</w:t>
            </w:r>
          </w:p>
        </w:tc>
        <w:tc>
          <w:tcPr>
            <w:tcW w:w="342" w:type="pct"/>
            <w:tcBorders>
              <w:top w:val="single" w:sz="4" w:space="0" w:color="auto"/>
              <w:left w:val="single" w:sz="4" w:space="0" w:color="auto"/>
              <w:bottom w:val="single" w:sz="4" w:space="0" w:color="auto"/>
            </w:tcBorders>
            <w:vAlign w:val="center"/>
          </w:tcPr>
          <w:p w14:paraId="16C9E3A8" w14:textId="78CE8C15"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N=1492</w:t>
            </w:r>
          </w:p>
        </w:tc>
        <w:tc>
          <w:tcPr>
            <w:tcW w:w="507" w:type="pct"/>
            <w:tcBorders>
              <w:top w:val="single" w:sz="4" w:space="0" w:color="auto"/>
              <w:bottom w:val="single" w:sz="4" w:space="0" w:color="auto"/>
            </w:tcBorders>
            <w:vAlign w:val="center"/>
          </w:tcPr>
          <w:p w14:paraId="5A2F5961" w14:textId="2949B316"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N=456</w:t>
            </w:r>
          </w:p>
        </w:tc>
        <w:tc>
          <w:tcPr>
            <w:tcW w:w="537" w:type="pct"/>
            <w:tcBorders>
              <w:top w:val="single" w:sz="4" w:space="0" w:color="auto"/>
              <w:bottom w:val="single" w:sz="4" w:space="0" w:color="auto"/>
              <w:right w:val="single" w:sz="4" w:space="0" w:color="auto"/>
            </w:tcBorders>
            <w:vAlign w:val="center"/>
          </w:tcPr>
          <w:p w14:paraId="6584C4AA" w14:textId="708991D9"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N=256</w:t>
            </w:r>
          </w:p>
        </w:tc>
        <w:tc>
          <w:tcPr>
            <w:tcW w:w="342" w:type="pct"/>
            <w:tcBorders>
              <w:top w:val="single" w:sz="4" w:space="0" w:color="auto"/>
              <w:left w:val="single" w:sz="4" w:space="0" w:color="auto"/>
              <w:bottom w:val="single" w:sz="4" w:space="0" w:color="auto"/>
            </w:tcBorders>
            <w:vAlign w:val="center"/>
          </w:tcPr>
          <w:p w14:paraId="31799336" w14:textId="01DD6AD4"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N=1604</w:t>
            </w:r>
          </w:p>
        </w:tc>
        <w:tc>
          <w:tcPr>
            <w:tcW w:w="507" w:type="pct"/>
            <w:tcBorders>
              <w:top w:val="single" w:sz="4" w:space="0" w:color="auto"/>
              <w:bottom w:val="single" w:sz="4" w:space="0" w:color="auto"/>
            </w:tcBorders>
            <w:vAlign w:val="center"/>
          </w:tcPr>
          <w:p w14:paraId="20115636" w14:textId="76BF11C1"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N=438</w:t>
            </w:r>
          </w:p>
        </w:tc>
        <w:tc>
          <w:tcPr>
            <w:tcW w:w="536" w:type="pct"/>
            <w:tcBorders>
              <w:top w:val="single" w:sz="4" w:space="0" w:color="auto"/>
              <w:bottom w:val="single" w:sz="4" w:space="0" w:color="auto"/>
            </w:tcBorders>
            <w:vAlign w:val="center"/>
          </w:tcPr>
          <w:p w14:paraId="5425160E" w14:textId="2DE08189"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N=162</w:t>
            </w:r>
          </w:p>
        </w:tc>
      </w:tr>
      <w:tr w:rsidR="006D7DCA" w:rsidRPr="006D7DCA" w14:paraId="6DB4B8C6" w14:textId="77777777" w:rsidTr="00DE401D">
        <w:trPr>
          <w:trHeight w:hRule="exact" w:val="340"/>
          <w:jc w:val="center"/>
        </w:trPr>
        <w:tc>
          <w:tcPr>
            <w:tcW w:w="524" w:type="pct"/>
            <w:vMerge w:val="restart"/>
            <w:tcBorders>
              <w:top w:val="single" w:sz="4" w:space="0" w:color="auto"/>
              <w:bottom w:val="nil"/>
            </w:tcBorders>
            <w:vAlign w:val="center"/>
            <w:hideMark/>
          </w:tcPr>
          <w:p w14:paraId="4B62108B" w14:textId="77777777" w:rsidR="005F5B66" w:rsidRPr="006D7DCA" w:rsidRDefault="005F5B66" w:rsidP="005F5B66">
            <w:pPr>
              <w:spacing w:after="0" w:line="256" w:lineRule="auto"/>
              <w:rPr>
                <w:rFonts w:ascii="Times New Roman" w:eastAsia="Calibri" w:hAnsi="Times New Roman" w:cs="Times New Roman"/>
                <w:sz w:val="16"/>
                <w:szCs w:val="16"/>
              </w:rPr>
            </w:pPr>
            <w:bookmarkStart w:id="3" w:name="_Hlk156661627"/>
            <w:r w:rsidRPr="006D7DCA">
              <w:rPr>
                <w:rFonts w:ascii="Times New Roman" w:eastAsia="Calibri" w:hAnsi="Times New Roman" w:cs="Times New Roman"/>
                <w:sz w:val="16"/>
                <w:szCs w:val="16"/>
              </w:rPr>
              <w:t>Tiempo pantalla</w:t>
            </w:r>
          </w:p>
          <w:p w14:paraId="4715BE38" w14:textId="0C21945E"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diario</w:t>
            </w:r>
          </w:p>
        </w:tc>
        <w:tc>
          <w:tcPr>
            <w:tcW w:w="319" w:type="pct"/>
            <w:tcBorders>
              <w:top w:val="single" w:sz="4" w:space="0" w:color="auto"/>
              <w:bottom w:val="nil"/>
            </w:tcBorders>
            <w:vAlign w:val="center"/>
            <w:hideMark/>
          </w:tcPr>
          <w:p w14:paraId="282F3C18" w14:textId="2B6DD841"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42" w:type="pct"/>
            <w:tcBorders>
              <w:top w:val="single" w:sz="4" w:space="0" w:color="auto"/>
              <w:bottom w:val="nil"/>
            </w:tcBorders>
            <w:vAlign w:val="center"/>
            <w:hideMark/>
          </w:tcPr>
          <w:p w14:paraId="37211EB7" w14:textId="23FB4344"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267.87</w:t>
            </w:r>
          </w:p>
        </w:tc>
        <w:tc>
          <w:tcPr>
            <w:tcW w:w="507" w:type="pct"/>
            <w:tcBorders>
              <w:top w:val="single" w:sz="4" w:space="0" w:color="auto"/>
              <w:bottom w:val="nil"/>
            </w:tcBorders>
            <w:vAlign w:val="center"/>
            <w:hideMark/>
          </w:tcPr>
          <w:p w14:paraId="0CA41C97" w14:textId="198D3C43"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280.30</w:t>
            </w:r>
          </w:p>
        </w:tc>
        <w:tc>
          <w:tcPr>
            <w:tcW w:w="536" w:type="pct"/>
            <w:tcBorders>
              <w:top w:val="single" w:sz="4" w:space="0" w:color="auto"/>
              <w:bottom w:val="nil"/>
              <w:right w:val="single" w:sz="4" w:space="0" w:color="auto"/>
            </w:tcBorders>
            <w:vAlign w:val="center"/>
            <w:hideMark/>
          </w:tcPr>
          <w:p w14:paraId="0EE9729F" w14:textId="6AAFF3FA"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313.76</w:t>
            </w:r>
          </w:p>
        </w:tc>
        <w:tc>
          <w:tcPr>
            <w:tcW w:w="342" w:type="pct"/>
            <w:tcBorders>
              <w:top w:val="single" w:sz="4" w:space="0" w:color="auto"/>
              <w:left w:val="single" w:sz="4" w:space="0" w:color="auto"/>
              <w:bottom w:val="nil"/>
            </w:tcBorders>
            <w:vAlign w:val="center"/>
            <w:hideMark/>
          </w:tcPr>
          <w:p w14:paraId="2CDF0638" w14:textId="6E63A2D6"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267.55</w:t>
            </w:r>
          </w:p>
        </w:tc>
        <w:tc>
          <w:tcPr>
            <w:tcW w:w="507" w:type="pct"/>
            <w:tcBorders>
              <w:top w:val="single" w:sz="4" w:space="0" w:color="auto"/>
              <w:bottom w:val="nil"/>
            </w:tcBorders>
            <w:vAlign w:val="center"/>
            <w:hideMark/>
          </w:tcPr>
          <w:p w14:paraId="02FE5EA0" w14:textId="424107CD"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287.69</w:t>
            </w:r>
          </w:p>
        </w:tc>
        <w:tc>
          <w:tcPr>
            <w:tcW w:w="537" w:type="pct"/>
            <w:tcBorders>
              <w:top w:val="single" w:sz="4" w:space="0" w:color="auto"/>
              <w:bottom w:val="nil"/>
              <w:right w:val="single" w:sz="4" w:space="0" w:color="auto"/>
            </w:tcBorders>
            <w:vAlign w:val="center"/>
            <w:hideMark/>
          </w:tcPr>
          <w:p w14:paraId="7380D027" w14:textId="3239D314"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295.59</w:t>
            </w:r>
          </w:p>
        </w:tc>
        <w:tc>
          <w:tcPr>
            <w:tcW w:w="342" w:type="pct"/>
            <w:tcBorders>
              <w:top w:val="single" w:sz="4" w:space="0" w:color="auto"/>
              <w:left w:val="single" w:sz="4" w:space="0" w:color="auto"/>
              <w:bottom w:val="nil"/>
            </w:tcBorders>
            <w:vAlign w:val="center"/>
            <w:hideMark/>
          </w:tcPr>
          <w:p w14:paraId="2FBE5292" w14:textId="57E89576"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268.27</w:t>
            </w:r>
          </w:p>
        </w:tc>
        <w:tc>
          <w:tcPr>
            <w:tcW w:w="507" w:type="pct"/>
            <w:tcBorders>
              <w:top w:val="single" w:sz="4" w:space="0" w:color="auto"/>
              <w:bottom w:val="nil"/>
            </w:tcBorders>
            <w:vAlign w:val="center"/>
            <w:hideMark/>
          </w:tcPr>
          <w:p w14:paraId="337272E5" w14:textId="65F040B2"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289.43</w:t>
            </w:r>
          </w:p>
        </w:tc>
        <w:tc>
          <w:tcPr>
            <w:tcW w:w="536" w:type="pct"/>
            <w:tcBorders>
              <w:top w:val="single" w:sz="4" w:space="0" w:color="auto"/>
              <w:bottom w:val="nil"/>
            </w:tcBorders>
            <w:vAlign w:val="center"/>
            <w:hideMark/>
          </w:tcPr>
          <w:p w14:paraId="48AE9C73" w14:textId="04AB9634"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302.32</w:t>
            </w:r>
          </w:p>
        </w:tc>
      </w:tr>
      <w:tr w:rsidR="006D7DCA" w:rsidRPr="006D7DCA" w14:paraId="438C9C80" w14:textId="77777777" w:rsidTr="00DE401D">
        <w:trPr>
          <w:trHeight w:hRule="exact" w:val="340"/>
          <w:jc w:val="center"/>
        </w:trPr>
        <w:tc>
          <w:tcPr>
            <w:tcW w:w="524" w:type="pct"/>
            <w:vMerge/>
            <w:tcBorders>
              <w:top w:val="nil"/>
              <w:bottom w:val="nil"/>
            </w:tcBorders>
            <w:vAlign w:val="center"/>
            <w:hideMark/>
          </w:tcPr>
          <w:p w14:paraId="49216B55" w14:textId="77777777" w:rsidR="005F5B66" w:rsidRPr="006D7DCA" w:rsidRDefault="005F5B66" w:rsidP="005F5B66">
            <w:pPr>
              <w:spacing w:after="0" w:line="256" w:lineRule="auto"/>
              <w:rPr>
                <w:rFonts w:ascii="Times New Roman" w:eastAsia="Calibri" w:hAnsi="Times New Roman" w:cs="Times New Roman"/>
                <w:sz w:val="16"/>
                <w:szCs w:val="16"/>
              </w:rPr>
            </w:pPr>
          </w:p>
        </w:tc>
        <w:tc>
          <w:tcPr>
            <w:tcW w:w="319" w:type="pct"/>
            <w:tcBorders>
              <w:top w:val="nil"/>
              <w:bottom w:val="single" w:sz="4" w:space="0" w:color="auto"/>
            </w:tcBorders>
            <w:vAlign w:val="center"/>
            <w:hideMark/>
          </w:tcPr>
          <w:p w14:paraId="221F68D5" w14:textId="3FEDE5DA"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42" w:type="pct"/>
            <w:tcBorders>
              <w:top w:val="nil"/>
              <w:bottom w:val="single" w:sz="4" w:space="0" w:color="auto"/>
            </w:tcBorders>
            <w:vAlign w:val="center"/>
            <w:hideMark/>
          </w:tcPr>
          <w:p w14:paraId="2A057BC3" w14:textId="6D686F55"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164.63</w:t>
            </w:r>
          </w:p>
        </w:tc>
        <w:tc>
          <w:tcPr>
            <w:tcW w:w="507" w:type="pct"/>
            <w:tcBorders>
              <w:top w:val="nil"/>
              <w:bottom w:val="single" w:sz="4" w:space="0" w:color="auto"/>
            </w:tcBorders>
            <w:vAlign w:val="center"/>
            <w:hideMark/>
          </w:tcPr>
          <w:p w14:paraId="2F69AD26" w14:textId="15CBDA00"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159.85</w:t>
            </w:r>
          </w:p>
        </w:tc>
        <w:tc>
          <w:tcPr>
            <w:tcW w:w="536" w:type="pct"/>
            <w:tcBorders>
              <w:top w:val="nil"/>
              <w:bottom w:val="single" w:sz="4" w:space="0" w:color="auto"/>
              <w:right w:val="single" w:sz="4" w:space="0" w:color="auto"/>
            </w:tcBorders>
            <w:vAlign w:val="center"/>
            <w:hideMark/>
          </w:tcPr>
          <w:p w14:paraId="04246552" w14:textId="17FA40B5"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182.84</w:t>
            </w:r>
          </w:p>
        </w:tc>
        <w:tc>
          <w:tcPr>
            <w:tcW w:w="342" w:type="pct"/>
            <w:tcBorders>
              <w:top w:val="nil"/>
              <w:left w:val="single" w:sz="4" w:space="0" w:color="auto"/>
              <w:bottom w:val="single" w:sz="4" w:space="0" w:color="auto"/>
            </w:tcBorders>
            <w:vAlign w:val="center"/>
            <w:hideMark/>
          </w:tcPr>
          <w:p w14:paraId="034FBE74" w14:textId="35CF794A"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162.99</w:t>
            </w:r>
          </w:p>
        </w:tc>
        <w:tc>
          <w:tcPr>
            <w:tcW w:w="507" w:type="pct"/>
            <w:tcBorders>
              <w:top w:val="nil"/>
              <w:bottom w:val="single" w:sz="4" w:space="0" w:color="auto"/>
            </w:tcBorders>
            <w:vAlign w:val="center"/>
            <w:hideMark/>
          </w:tcPr>
          <w:p w14:paraId="254A1C71" w14:textId="3182553A"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168.26</w:t>
            </w:r>
          </w:p>
        </w:tc>
        <w:tc>
          <w:tcPr>
            <w:tcW w:w="537" w:type="pct"/>
            <w:tcBorders>
              <w:top w:val="nil"/>
              <w:bottom w:val="single" w:sz="4" w:space="0" w:color="auto"/>
              <w:right w:val="single" w:sz="4" w:space="0" w:color="auto"/>
            </w:tcBorders>
            <w:vAlign w:val="center"/>
            <w:hideMark/>
          </w:tcPr>
          <w:p w14:paraId="2731ECA7" w14:textId="27D99837"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175.62</w:t>
            </w:r>
          </w:p>
        </w:tc>
        <w:tc>
          <w:tcPr>
            <w:tcW w:w="342" w:type="pct"/>
            <w:tcBorders>
              <w:top w:val="nil"/>
              <w:left w:val="single" w:sz="4" w:space="0" w:color="auto"/>
              <w:bottom w:val="single" w:sz="4" w:space="0" w:color="auto"/>
            </w:tcBorders>
            <w:vAlign w:val="center"/>
            <w:hideMark/>
          </w:tcPr>
          <w:p w14:paraId="415085BB" w14:textId="66F1A3C2"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163.18</w:t>
            </w:r>
          </w:p>
        </w:tc>
        <w:tc>
          <w:tcPr>
            <w:tcW w:w="507" w:type="pct"/>
            <w:tcBorders>
              <w:top w:val="nil"/>
              <w:bottom w:val="single" w:sz="4" w:space="0" w:color="auto"/>
            </w:tcBorders>
            <w:vAlign w:val="center"/>
            <w:hideMark/>
          </w:tcPr>
          <w:p w14:paraId="49272037" w14:textId="09A7DDE0"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167.69</w:t>
            </w:r>
          </w:p>
        </w:tc>
        <w:tc>
          <w:tcPr>
            <w:tcW w:w="536" w:type="pct"/>
            <w:tcBorders>
              <w:top w:val="nil"/>
              <w:bottom w:val="single" w:sz="4" w:space="0" w:color="auto"/>
            </w:tcBorders>
            <w:vAlign w:val="center"/>
            <w:hideMark/>
          </w:tcPr>
          <w:p w14:paraId="7D0BAA2E" w14:textId="4006AA7D"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182.54</w:t>
            </w:r>
          </w:p>
        </w:tc>
      </w:tr>
      <w:tr w:rsidR="006D7DCA" w:rsidRPr="006D7DCA" w14:paraId="55C18984" w14:textId="77777777" w:rsidTr="00DE401D">
        <w:trPr>
          <w:trHeight w:hRule="exact" w:val="340"/>
          <w:jc w:val="center"/>
        </w:trPr>
        <w:tc>
          <w:tcPr>
            <w:tcW w:w="524" w:type="pct"/>
            <w:vMerge/>
            <w:tcBorders>
              <w:top w:val="nil"/>
              <w:bottom w:val="single" w:sz="4" w:space="0" w:color="auto"/>
            </w:tcBorders>
            <w:vAlign w:val="center"/>
            <w:hideMark/>
          </w:tcPr>
          <w:p w14:paraId="045CA2A9" w14:textId="77777777" w:rsidR="005F5B66" w:rsidRPr="006D7DCA" w:rsidRDefault="005F5B66" w:rsidP="005F5B66">
            <w:pPr>
              <w:spacing w:after="0" w:line="256" w:lineRule="auto"/>
              <w:rPr>
                <w:rFonts w:ascii="Times New Roman" w:eastAsia="Calibri" w:hAnsi="Times New Roman" w:cs="Times New Roman"/>
                <w:sz w:val="16"/>
                <w:szCs w:val="16"/>
              </w:rPr>
            </w:pPr>
          </w:p>
        </w:tc>
        <w:tc>
          <w:tcPr>
            <w:tcW w:w="319" w:type="pct"/>
            <w:tcBorders>
              <w:top w:val="single" w:sz="4" w:space="0" w:color="auto"/>
              <w:bottom w:val="single" w:sz="4" w:space="0" w:color="auto"/>
            </w:tcBorders>
            <w:vAlign w:val="center"/>
            <w:hideMark/>
          </w:tcPr>
          <w:p w14:paraId="70D8DDCC" w14:textId="135A737F" w:rsidR="005F5B66" w:rsidRPr="006D7DCA" w:rsidRDefault="00DE401D" w:rsidP="005F5B66">
            <w:pPr>
              <w:spacing w:after="0" w:line="256" w:lineRule="auto"/>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85" w:type="pct"/>
            <w:gridSpan w:val="3"/>
            <w:tcBorders>
              <w:top w:val="single" w:sz="4" w:space="0" w:color="auto"/>
              <w:bottom w:val="single" w:sz="4" w:space="0" w:color="auto"/>
              <w:right w:val="single" w:sz="4" w:space="0" w:color="auto"/>
            </w:tcBorders>
            <w:vAlign w:val="center"/>
            <w:hideMark/>
          </w:tcPr>
          <w:p w14:paraId="4AC1C1FC" w14:textId="31095F98"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0.001</w:t>
            </w:r>
          </w:p>
        </w:tc>
        <w:tc>
          <w:tcPr>
            <w:tcW w:w="1386" w:type="pct"/>
            <w:gridSpan w:val="3"/>
            <w:tcBorders>
              <w:top w:val="single" w:sz="4" w:space="0" w:color="auto"/>
              <w:left w:val="single" w:sz="4" w:space="0" w:color="auto"/>
              <w:bottom w:val="single" w:sz="4" w:space="0" w:color="auto"/>
              <w:right w:val="single" w:sz="4" w:space="0" w:color="auto"/>
            </w:tcBorders>
            <w:vAlign w:val="center"/>
            <w:hideMark/>
          </w:tcPr>
          <w:p w14:paraId="063BC986" w14:textId="0A688786"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0.015</w:t>
            </w:r>
          </w:p>
        </w:tc>
        <w:tc>
          <w:tcPr>
            <w:tcW w:w="1385" w:type="pct"/>
            <w:gridSpan w:val="3"/>
            <w:tcBorders>
              <w:top w:val="single" w:sz="4" w:space="0" w:color="auto"/>
              <w:left w:val="single" w:sz="4" w:space="0" w:color="auto"/>
              <w:bottom w:val="single" w:sz="4" w:space="0" w:color="auto"/>
            </w:tcBorders>
            <w:vAlign w:val="center"/>
            <w:hideMark/>
          </w:tcPr>
          <w:p w14:paraId="3EAEDF83" w14:textId="67A451F5"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0.009</w:t>
            </w:r>
          </w:p>
        </w:tc>
      </w:tr>
      <w:tr w:rsidR="006D7DCA" w:rsidRPr="006D7DCA" w14:paraId="3A374772" w14:textId="77777777" w:rsidTr="00DE401D">
        <w:trPr>
          <w:trHeight w:hRule="exact" w:val="340"/>
          <w:jc w:val="center"/>
        </w:trPr>
        <w:tc>
          <w:tcPr>
            <w:tcW w:w="524" w:type="pct"/>
            <w:vMerge w:val="restart"/>
            <w:tcBorders>
              <w:top w:val="single" w:sz="4" w:space="0" w:color="auto"/>
              <w:bottom w:val="nil"/>
            </w:tcBorders>
            <w:vAlign w:val="center"/>
            <w:hideMark/>
          </w:tcPr>
          <w:p w14:paraId="7CC5807D" w14:textId="5950EE9D"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Actividad Física</w:t>
            </w:r>
          </w:p>
        </w:tc>
        <w:tc>
          <w:tcPr>
            <w:tcW w:w="319" w:type="pct"/>
            <w:tcBorders>
              <w:top w:val="single" w:sz="4" w:space="0" w:color="auto"/>
              <w:bottom w:val="nil"/>
            </w:tcBorders>
            <w:vAlign w:val="center"/>
            <w:hideMark/>
          </w:tcPr>
          <w:p w14:paraId="3FDF3F0F" w14:textId="5172CF33"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42" w:type="pct"/>
            <w:tcBorders>
              <w:top w:val="single" w:sz="4" w:space="0" w:color="auto"/>
              <w:bottom w:val="nil"/>
            </w:tcBorders>
            <w:vAlign w:val="center"/>
            <w:hideMark/>
          </w:tcPr>
          <w:p w14:paraId="728301D5" w14:textId="2429A9F5"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2246.17</w:t>
            </w:r>
          </w:p>
        </w:tc>
        <w:tc>
          <w:tcPr>
            <w:tcW w:w="507" w:type="pct"/>
            <w:tcBorders>
              <w:top w:val="single" w:sz="4" w:space="0" w:color="auto"/>
              <w:bottom w:val="nil"/>
            </w:tcBorders>
            <w:vAlign w:val="center"/>
            <w:hideMark/>
          </w:tcPr>
          <w:p w14:paraId="26EA2AFD" w14:textId="14D57379"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1942.62</w:t>
            </w:r>
          </w:p>
        </w:tc>
        <w:tc>
          <w:tcPr>
            <w:tcW w:w="536" w:type="pct"/>
            <w:tcBorders>
              <w:top w:val="single" w:sz="4" w:space="0" w:color="auto"/>
              <w:bottom w:val="nil"/>
              <w:right w:val="single" w:sz="4" w:space="0" w:color="auto"/>
            </w:tcBorders>
            <w:vAlign w:val="center"/>
            <w:hideMark/>
          </w:tcPr>
          <w:p w14:paraId="007FE0E3" w14:textId="46FA252B"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1755.20</w:t>
            </w:r>
          </w:p>
        </w:tc>
        <w:tc>
          <w:tcPr>
            <w:tcW w:w="342" w:type="pct"/>
            <w:tcBorders>
              <w:top w:val="single" w:sz="4" w:space="0" w:color="auto"/>
              <w:left w:val="single" w:sz="4" w:space="0" w:color="auto"/>
              <w:bottom w:val="nil"/>
            </w:tcBorders>
            <w:vAlign w:val="center"/>
            <w:hideMark/>
          </w:tcPr>
          <w:p w14:paraId="44E3280D" w14:textId="529E79A8"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2291.12</w:t>
            </w:r>
          </w:p>
        </w:tc>
        <w:tc>
          <w:tcPr>
            <w:tcW w:w="507" w:type="pct"/>
            <w:tcBorders>
              <w:top w:val="single" w:sz="4" w:space="0" w:color="auto"/>
              <w:bottom w:val="nil"/>
            </w:tcBorders>
            <w:vAlign w:val="center"/>
            <w:hideMark/>
          </w:tcPr>
          <w:p w14:paraId="59844E6B" w14:textId="4364D782"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1872.03</w:t>
            </w:r>
          </w:p>
        </w:tc>
        <w:tc>
          <w:tcPr>
            <w:tcW w:w="537" w:type="pct"/>
            <w:tcBorders>
              <w:top w:val="single" w:sz="4" w:space="0" w:color="auto"/>
              <w:bottom w:val="nil"/>
              <w:right w:val="single" w:sz="4" w:space="0" w:color="auto"/>
            </w:tcBorders>
            <w:vAlign w:val="center"/>
            <w:hideMark/>
          </w:tcPr>
          <w:p w14:paraId="43C1400E" w14:textId="09A73E97"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1671.15</w:t>
            </w:r>
          </w:p>
        </w:tc>
        <w:tc>
          <w:tcPr>
            <w:tcW w:w="342" w:type="pct"/>
            <w:tcBorders>
              <w:top w:val="single" w:sz="4" w:space="0" w:color="auto"/>
              <w:left w:val="single" w:sz="4" w:space="0" w:color="auto"/>
              <w:bottom w:val="nil"/>
            </w:tcBorders>
            <w:vAlign w:val="center"/>
            <w:hideMark/>
          </w:tcPr>
          <w:p w14:paraId="67C3231D" w14:textId="0648ABDD"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2229.50</w:t>
            </w:r>
          </w:p>
        </w:tc>
        <w:tc>
          <w:tcPr>
            <w:tcW w:w="507" w:type="pct"/>
            <w:tcBorders>
              <w:top w:val="single" w:sz="4" w:space="0" w:color="auto"/>
              <w:bottom w:val="nil"/>
            </w:tcBorders>
            <w:vAlign w:val="center"/>
            <w:hideMark/>
          </w:tcPr>
          <w:p w14:paraId="4426FB0F" w14:textId="7102C771"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2028.05</w:t>
            </w:r>
          </w:p>
        </w:tc>
        <w:tc>
          <w:tcPr>
            <w:tcW w:w="536" w:type="pct"/>
            <w:tcBorders>
              <w:top w:val="single" w:sz="4" w:space="0" w:color="auto"/>
              <w:bottom w:val="nil"/>
            </w:tcBorders>
            <w:vAlign w:val="center"/>
            <w:hideMark/>
          </w:tcPr>
          <w:p w14:paraId="267A3B07" w14:textId="25FCF335"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1453.11</w:t>
            </w:r>
          </w:p>
        </w:tc>
      </w:tr>
      <w:tr w:rsidR="006D7DCA" w:rsidRPr="006D7DCA" w14:paraId="21DBDF8A" w14:textId="77777777" w:rsidTr="00DE401D">
        <w:trPr>
          <w:trHeight w:hRule="exact" w:val="340"/>
          <w:jc w:val="center"/>
        </w:trPr>
        <w:tc>
          <w:tcPr>
            <w:tcW w:w="524" w:type="pct"/>
            <w:vMerge/>
            <w:tcBorders>
              <w:top w:val="nil"/>
              <w:bottom w:val="nil"/>
            </w:tcBorders>
            <w:vAlign w:val="center"/>
            <w:hideMark/>
          </w:tcPr>
          <w:p w14:paraId="75BCBA53" w14:textId="77777777" w:rsidR="005F5B66" w:rsidRPr="006D7DCA" w:rsidRDefault="005F5B66" w:rsidP="005F5B66">
            <w:pPr>
              <w:spacing w:after="0" w:line="256" w:lineRule="auto"/>
              <w:rPr>
                <w:rFonts w:ascii="Times New Roman" w:eastAsia="Calibri" w:hAnsi="Times New Roman" w:cs="Times New Roman"/>
                <w:sz w:val="16"/>
                <w:szCs w:val="16"/>
              </w:rPr>
            </w:pPr>
          </w:p>
        </w:tc>
        <w:tc>
          <w:tcPr>
            <w:tcW w:w="319" w:type="pct"/>
            <w:tcBorders>
              <w:top w:val="nil"/>
              <w:bottom w:val="single" w:sz="4" w:space="0" w:color="auto"/>
            </w:tcBorders>
            <w:vAlign w:val="center"/>
            <w:hideMark/>
          </w:tcPr>
          <w:p w14:paraId="64450127" w14:textId="67B954C7"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42" w:type="pct"/>
            <w:tcBorders>
              <w:top w:val="nil"/>
              <w:bottom w:val="single" w:sz="4" w:space="0" w:color="auto"/>
            </w:tcBorders>
            <w:vAlign w:val="center"/>
            <w:hideMark/>
          </w:tcPr>
          <w:p w14:paraId="464A30E0" w14:textId="406D4555"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2254.32</w:t>
            </w:r>
          </w:p>
        </w:tc>
        <w:tc>
          <w:tcPr>
            <w:tcW w:w="507" w:type="pct"/>
            <w:tcBorders>
              <w:top w:val="nil"/>
              <w:bottom w:val="single" w:sz="4" w:space="0" w:color="auto"/>
            </w:tcBorders>
            <w:vAlign w:val="center"/>
            <w:hideMark/>
          </w:tcPr>
          <w:p w14:paraId="2741D6F2" w14:textId="7B4EDCB4"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2264.97</w:t>
            </w:r>
          </w:p>
        </w:tc>
        <w:tc>
          <w:tcPr>
            <w:tcW w:w="536" w:type="pct"/>
            <w:tcBorders>
              <w:top w:val="nil"/>
              <w:bottom w:val="single" w:sz="4" w:space="0" w:color="auto"/>
              <w:right w:val="single" w:sz="4" w:space="0" w:color="auto"/>
            </w:tcBorders>
            <w:vAlign w:val="center"/>
            <w:hideMark/>
          </w:tcPr>
          <w:p w14:paraId="23DFC607" w14:textId="14A54D97"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2134.75</w:t>
            </w:r>
          </w:p>
        </w:tc>
        <w:tc>
          <w:tcPr>
            <w:tcW w:w="342" w:type="pct"/>
            <w:tcBorders>
              <w:top w:val="nil"/>
              <w:left w:val="single" w:sz="4" w:space="0" w:color="auto"/>
              <w:bottom w:val="single" w:sz="4" w:space="0" w:color="auto"/>
            </w:tcBorders>
            <w:vAlign w:val="center"/>
            <w:hideMark/>
          </w:tcPr>
          <w:p w14:paraId="5ABCB24A" w14:textId="690F1BC8"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2239.94</w:t>
            </w:r>
          </w:p>
        </w:tc>
        <w:tc>
          <w:tcPr>
            <w:tcW w:w="507" w:type="pct"/>
            <w:tcBorders>
              <w:top w:val="nil"/>
              <w:bottom w:val="single" w:sz="4" w:space="0" w:color="auto"/>
            </w:tcBorders>
            <w:vAlign w:val="center"/>
            <w:hideMark/>
          </w:tcPr>
          <w:p w14:paraId="1410A01F" w14:textId="1EDEA8B7"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2248.76</w:t>
            </w:r>
          </w:p>
        </w:tc>
        <w:tc>
          <w:tcPr>
            <w:tcW w:w="537" w:type="pct"/>
            <w:tcBorders>
              <w:top w:val="nil"/>
              <w:bottom w:val="single" w:sz="4" w:space="0" w:color="auto"/>
              <w:right w:val="single" w:sz="4" w:space="0" w:color="auto"/>
            </w:tcBorders>
            <w:vAlign w:val="center"/>
            <w:hideMark/>
          </w:tcPr>
          <w:p w14:paraId="5CDB7391" w14:textId="65D3C12E"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2224.43</w:t>
            </w:r>
          </w:p>
        </w:tc>
        <w:tc>
          <w:tcPr>
            <w:tcW w:w="342" w:type="pct"/>
            <w:tcBorders>
              <w:top w:val="nil"/>
              <w:left w:val="single" w:sz="4" w:space="0" w:color="auto"/>
              <w:bottom w:val="single" w:sz="4" w:space="0" w:color="auto"/>
            </w:tcBorders>
            <w:vAlign w:val="center"/>
            <w:hideMark/>
          </w:tcPr>
          <w:p w14:paraId="69ED6541" w14:textId="2ADC3862"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2208.77</w:t>
            </w:r>
          </w:p>
        </w:tc>
        <w:tc>
          <w:tcPr>
            <w:tcW w:w="507" w:type="pct"/>
            <w:tcBorders>
              <w:top w:val="nil"/>
              <w:bottom w:val="single" w:sz="4" w:space="0" w:color="auto"/>
            </w:tcBorders>
            <w:vAlign w:val="center"/>
            <w:hideMark/>
          </w:tcPr>
          <w:p w14:paraId="535257D0" w14:textId="0BDD3E72"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2488.12</w:t>
            </w:r>
          </w:p>
        </w:tc>
        <w:tc>
          <w:tcPr>
            <w:tcW w:w="536" w:type="pct"/>
            <w:tcBorders>
              <w:top w:val="nil"/>
              <w:bottom w:val="single" w:sz="4" w:space="0" w:color="auto"/>
            </w:tcBorders>
            <w:vAlign w:val="center"/>
            <w:hideMark/>
          </w:tcPr>
          <w:p w14:paraId="18FFA14E" w14:textId="4B20A782"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1841.52</w:t>
            </w:r>
          </w:p>
        </w:tc>
      </w:tr>
      <w:tr w:rsidR="006D7DCA" w:rsidRPr="006D7DCA" w14:paraId="00A439F0" w14:textId="77777777" w:rsidTr="00DE401D">
        <w:trPr>
          <w:trHeight w:hRule="exact" w:val="340"/>
          <w:jc w:val="center"/>
        </w:trPr>
        <w:tc>
          <w:tcPr>
            <w:tcW w:w="524" w:type="pct"/>
            <w:vMerge/>
            <w:tcBorders>
              <w:top w:val="nil"/>
              <w:bottom w:val="single" w:sz="4" w:space="0" w:color="auto"/>
            </w:tcBorders>
            <w:vAlign w:val="center"/>
            <w:hideMark/>
          </w:tcPr>
          <w:p w14:paraId="0B1B7F70" w14:textId="77777777" w:rsidR="005F5B66" w:rsidRPr="006D7DCA" w:rsidRDefault="005F5B66" w:rsidP="005F5B66">
            <w:pPr>
              <w:spacing w:after="0" w:line="256" w:lineRule="auto"/>
              <w:rPr>
                <w:rFonts w:ascii="Times New Roman" w:eastAsia="Calibri" w:hAnsi="Times New Roman" w:cs="Times New Roman"/>
                <w:sz w:val="16"/>
                <w:szCs w:val="16"/>
              </w:rPr>
            </w:pPr>
          </w:p>
        </w:tc>
        <w:tc>
          <w:tcPr>
            <w:tcW w:w="319" w:type="pct"/>
            <w:tcBorders>
              <w:top w:val="single" w:sz="4" w:space="0" w:color="auto"/>
              <w:bottom w:val="single" w:sz="4" w:space="0" w:color="auto"/>
            </w:tcBorders>
            <w:vAlign w:val="center"/>
            <w:hideMark/>
          </w:tcPr>
          <w:p w14:paraId="38F4980C" w14:textId="160B099A" w:rsidR="005F5B66" w:rsidRPr="006D7DCA" w:rsidRDefault="00DE401D" w:rsidP="005F5B66">
            <w:pPr>
              <w:spacing w:after="0" w:line="256" w:lineRule="auto"/>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85" w:type="pct"/>
            <w:gridSpan w:val="3"/>
            <w:tcBorders>
              <w:top w:val="single" w:sz="4" w:space="0" w:color="auto"/>
              <w:bottom w:val="single" w:sz="4" w:space="0" w:color="auto"/>
              <w:right w:val="single" w:sz="4" w:space="0" w:color="auto"/>
            </w:tcBorders>
            <w:vAlign w:val="center"/>
            <w:hideMark/>
          </w:tcPr>
          <w:p w14:paraId="1A79CC38" w14:textId="715DA521"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1386" w:type="pct"/>
            <w:gridSpan w:val="3"/>
            <w:tcBorders>
              <w:top w:val="single" w:sz="4" w:space="0" w:color="auto"/>
              <w:left w:val="single" w:sz="4" w:space="0" w:color="auto"/>
              <w:bottom w:val="single" w:sz="4" w:space="0" w:color="auto"/>
              <w:right w:val="single" w:sz="4" w:space="0" w:color="auto"/>
            </w:tcBorders>
            <w:vAlign w:val="center"/>
            <w:hideMark/>
          </w:tcPr>
          <w:p w14:paraId="4D9C3B3D" w14:textId="570B4C84"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1385" w:type="pct"/>
            <w:gridSpan w:val="3"/>
            <w:tcBorders>
              <w:top w:val="single" w:sz="4" w:space="0" w:color="auto"/>
              <w:left w:val="single" w:sz="4" w:space="0" w:color="auto"/>
              <w:bottom w:val="single" w:sz="4" w:space="0" w:color="auto"/>
            </w:tcBorders>
            <w:vAlign w:val="center"/>
            <w:hideMark/>
          </w:tcPr>
          <w:p w14:paraId="7D996427" w14:textId="34E2D882" w:rsidR="005F5B66" w:rsidRPr="006D7DCA" w:rsidRDefault="005F5B66" w:rsidP="005F5B66">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318FAF9C" w14:textId="77777777" w:rsidTr="00DE401D">
        <w:trPr>
          <w:trHeight w:hRule="exact" w:val="340"/>
          <w:jc w:val="center"/>
        </w:trPr>
        <w:tc>
          <w:tcPr>
            <w:tcW w:w="524" w:type="pct"/>
            <w:vMerge w:val="restart"/>
            <w:tcBorders>
              <w:top w:val="single" w:sz="4" w:space="0" w:color="auto"/>
              <w:bottom w:val="nil"/>
            </w:tcBorders>
            <w:vAlign w:val="center"/>
            <w:hideMark/>
          </w:tcPr>
          <w:p w14:paraId="374F52C7" w14:textId="32EDB271"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Dieta mediterránea</w:t>
            </w:r>
          </w:p>
        </w:tc>
        <w:tc>
          <w:tcPr>
            <w:tcW w:w="319" w:type="pct"/>
            <w:tcBorders>
              <w:top w:val="single" w:sz="4" w:space="0" w:color="auto"/>
              <w:bottom w:val="nil"/>
            </w:tcBorders>
            <w:vAlign w:val="center"/>
            <w:hideMark/>
          </w:tcPr>
          <w:p w14:paraId="792764AC" w14:textId="2822E1D9"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42" w:type="pct"/>
            <w:tcBorders>
              <w:top w:val="single" w:sz="4" w:space="0" w:color="auto"/>
              <w:bottom w:val="nil"/>
            </w:tcBorders>
            <w:vAlign w:val="center"/>
            <w:hideMark/>
          </w:tcPr>
          <w:p w14:paraId="774E119E" w14:textId="5407E15A"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8.28</w:t>
            </w:r>
          </w:p>
        </w:tc>
        <w:tc>
          <w:tcPr>
            <w:tcW w:w="507" w:type="pct"/>
            <w:tcBorders>
              <w:top w:val="single" w:sz="4" w:space="0" w:color="auto"/>
              <w:bottom w:val="nil"/>
            </w:tcBorders>
            <w:vAlign w:val="center"/>
            <w:hideMark/>
          </w:tcPr>
          <w:p w14:paraId="0906D369" w14:textId="08A62AB8" w:rsidR="005F5B66" w:rsidRPr="006D7DCA" w:rsidRDefault="005F5B66" w:rsidP="005F5B66">
            <w:pPr>
              <w:spacing w:after="0" w:line="256" w:lineRule="auto"/>
              <w:jc w:val="center"/>
              <w:rPr>
                <w:rFonts w:ascii="Times New Roman" w:eastAsia="Calibri" w:hAnsi="Times New Roman" w:cs="Times New Roman"/>
                <w:sz w:val="16"/>
                <w:szCs w:val="16"/>
                <w:shd w:val="clear" w:color="auto" w:fill="FFFFFF"/>
              </w:rPr>
            </w:pPr>
            <w:r w:rsidRPr="006D7DCA">
              <w:rPr>
                <w:rFonts w:ascii="Times New Roman" w:eastAsia="Calibri" w:hAnsi="Times New Roman" w:cs="Times New Roman"/>
                <w:sz w:val="16"/>
                <w:szCs w:val="16"/>
              </w:rPr>
              <w:t>8.16</w:t>
            </w:r>
          </w:p>
        </w:tc>
        <w:tc>
          <w:tcPr>
            <w:tcW w:w="536" w:type="pct"/>
            <w:tcBorders>
              <w:top w:val="single" w:sz="4" w:space="0" w:color="auto"/>
              <w:bottom w:val="nil"/>
              <w:right w:val="single" w:sz="4" w:space="0" w:color="auto"/>
            </w:tcBorders>
            <w:vAlign w:val="center"/>
            <w:hideMark/>
          </w:tcPr>
          <w:p w14:paraId="65E9241B" w14:textId="40414757"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7.83</w:t>
            </w:r>
          </w:p>
        </w:tc>
        <w:tc>
          <w:tcPr>
            <w:tcW w:w="342" w:type="pct"/>
            <w:tcBorders>
              <w:top w:val="single" w:sz="4" w:space="0" w:color="auto"/>
              <w:left w:val="single" w:sz="4" w:space="0" w:color="auto"/>
              <w:bottom w:val="nil"/>
            </w:tcBorders>
            <w:vAlign w:val="center"/>
            <w:hideMark/>
          </w:tcPr>
          <w:p w14:paraId="3C1B0C28" w14:textId="6A198F1E"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8.30</w:t>
            </w:r>
          </w:p>
        </w:tc>
        <w:tc>
          <w:tcPr>
            <w:tcW w:w="507" w:type="pct"/>
            <w:tcBorders>
              <w:top w:val="single" w:sz="4" w:space="0" w:color="auto"/>
              <w:bottom w:val="nil"/>
            </w:tcBorders>
            <w:vAlign w:val="center"/>
            <w:hideMark/>
          </w:tcPr>
          <w:p w14:paraId="74AE2708" w14:textId="636389B9"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8.14</w:t>
            </w:r>
          </w:p>
        </w:tc>
        <w:tc>
          <w:tcPr>
            <w:tcW w:w="537" w:type="pct"/>
            <w:tcBorders>
              <w:top w:val="single" w:sz="4" w:space="0" w:color="auto"/>
              <w:bottom w:val="nil"/>
              <w:right w:val="single" w:sz="4" w:space="0" w:color="auto"/>
            </w:tcBorders>
            <w:vAlign w:val="center"/>
            <w:hideMark/>
          </w:tcPr>
          <w:p w14:paraId="581C4934" w14:textId="3F0B6671"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7.80</w:t>
            </w:r>
          </w:p>
        </w:tc>
        <w:tc>
          <w:tcPr>
            <w:tcW w:w="342" w:type="pct"/>
            <w:tcBorders>
              <w:top w:val="single" w:sz="4" w:space="0" w:color="auto"/>
              <w:left w:val="single" w:sz="4" w:space="0" w:color="auto"/>
              <w:bottom w:val="nil"/>
            </w:tcBorders>
            <w:vAlign w:val="center"/>
            <w:hideMark/>
          </w:tcPr>
          <w:p w14:paraId="50312DED" w14:textId="61D85E31"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8.30</w:t>
            </w:r>
          </w:p>
        </w:tc>
        <w:tc>
          <w:tcPr>
            <w:tcW w:w="507" w:type="pct"/>
            <w:tcBorders>
              <w:top w:val="single" w:sz="4" w:space="0" w:color="auto"/>
              <w:bottom w:val="nil"/>
            </w:tcBorders>
            <w:vAlign w:val="center"/>
            <w:hideMark/>
          </w:tcPr>
          <w:p w14:paraId="09BBB55E" w14:textId="26B21617"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8.13</w:t>
            </w:r>
          </w:p>
        </w:tc>
        <w:tc>
          <w:tcPr>
            <w:tcW w:w="536" w:type="pct"/>
            <w:tcBorders>
              <w:top w:val="single" w:sz="4" w:space="0" w:color="auto"/>
              <w:bottom w:val="nil"/>
            </w:tcBorders>
            <w:vAlign w:val="center"/>
            <w:hideMark/>
          </w:tcPr>
          <w:p w14:paraId="01298994" w14:textId="212B33E8"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7.50</w:t>
            </w:r>
          </w:p>
        </w:tc>
      </w:tr>
      <w:tr w:rsidR="006D7DCA" w:rsidRPr="006D7DCA" w14:paraId="41EBFEA1" w14:textId="77777777" w:rsidTr="00DE401D">
        <w:trPr>
          <w:trHeight w:hRule="exact" w:val="340"/>
          <w:jc w:val="center"/>
        </w:trPr>
        <w:tc>
          <w:tcPr>
            <w:tcW w:w="524" w:type="pct"/>
            <w:vMerge/>
            <w:tcBorders>
              <w:top w:val="nil"/>
              <w:bottom w:val="nil"/>
            </w:tcBorders>
            <w:vAlign w:val="center"/>
            <w:hideMark/>
          </w:tcPr>
          <w:p w14:paraId="7050BA07" w14:textId="77777777" w:rsidR="005F5B66" w:rsidRPr="006D7DCA" w:rsidRDefault="005F5B66" w:rsidP="005F5B66">
            <w:pPr>
              <w:spacing w:after="0" w:line="256" w:lineRule="auto"/>
              <w:rPr>
                <w:rFonts w:ascii="Times New Roman" w:eastAsia="Calibri" w:hAnsi="Times New Roman" w:cs="Times New Roman"/>
                <w:sz w:val="16"/>
                <w:szCs w:val="16"/>
              </w:rPr>
            </w:pPr>
          </w:p>
        </w:tc>
        <w:tc>
          <w:tcPr>
            <w:tcW w:w="319" w:type="pct"/>
            <w:tcBorders>
              <w:top w:val="nil"/>
              <w:bottom w:val="single" w:sz="4" w:space="0" w:color="auto"/>
            </w:tcBorders>
            <w:vAlign w:val="center"/>
            <w:hideMark/>
          </w:tcPr>
          <w:p w14:paraId="63FD9963" w14:textId="07B4BB56"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42" w:type="pct"/>
            <w:tcBorders>
              <w:top w:val="nil"/>
              <w:bottom w:val="single" w:sz="4" w:space="0" w:color="auto"/>
            </w:tcBorders>
            <w:vAlign w:val="center"/>
            <w:hideMark/>
          </w:tcPr>
          <w:p w14:paraId="12F25059" w14:textId="40432ECA"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1.85</w:t>
            </w:r>
          </w:p>
        </w:tc>
        <w:tc>
          <w:tcPr>
            <w:tcW w:w="507" w:type="pct"/>
            <w:tcBorders>
              <w:top w:val="nil"/>
              <w:bottom w:val="single" w:sz="4" w:space="0" w:color="auto"/>
            </w:tcBorders>
            <w:vAlign w:val="center"/>
            <w:hideMark/>
          </w:tcPr>
          <w:p w14:paraId="75011097" w14:textId="425EE2BD"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1.94</w:t>
            </w:r>
          </w:p>
        </w:tc>
        <w:tc>
          <w:tcPr>
            <w:tcW w:w="536" w:type="pct"/>
            <w:tcBorders>
              <w:top w:val="nil"/>
              <w:bottom w:val="single" w:sz="4" w:space="0" w:color="auto"/>
              <w:right w:val="single" w:sz="4" w:space="0" w:color="auto"/>
            </w:tcBorders>
            <w:vAlign w:val="center"/>
            <w:hideMark/>
          </w:tcPr>
          <w:p w14:paraId="44E65BC7" w14:textId="5C27777B"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2.02</w:t>
            </w:r>
          </w:p>
        </w:tc>
        <w:tc>
          <w:tcPr>
            <w:tcW w:w="342" w:type="pct"/>
            <w:tcBorders>
              <w:top w:val="nil"/>
              <w:left w:val="single" w:sz="4" w:space="0" w:color="auto"/>
              <w:bottom w:val="single" w:sz="4" w:space="0" w:color="auto"/>
            </w:tcBorders>
            <w:vAlign w:val="center"/>
            <w:hideMark/>
          </w:tcPr>
          <w:p w14:paraId="545BC2EC" w14:textId="652D0D80"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1.83</w:t>
            </w:r>
          </w:p>
        </w:tc>
        <w:tc>
          <w:tcPr>
            <w:tcW w:w="507" w:type="pct"/>
            <w:tcBorders>
              <w:top w:val="nil"/>
              <w:bottom w:val="single" w:sz="4" w:space="0" w:color="auto"/>
            </w:tcBorders>
            <w:vAlign w:val="center"/>
            <w:hideMark/>
          </w:tcPr>
          <w:p w14:paraId="5F51CB92" w14:textId="1E49683E"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1.92</w:t>
            </w:r>
          </w:p>
        </w:tc>
        <w:tc>
          <w:tcPr>
            <w:tcW w:w="537" w:type="pct"/>
            <w:tcBorders>
              <w:top w:val="nil"/>
              <w:bottom w:val="single" w:sz="4" w:space="0" w:color="auto"/>
              <w:right w:val="single" w:sz="4" w:space="0" w:color="auto"/>
            </w:tcBorders>
            <w:vAlign w:val="center"/>
            <w:hideMark/>
          </w:tcPr>
          <w:p w14:paraId="5FFB9932" w14:textId="4AFFD371"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2.14</w:t>
            </w:r>
          </w:p>
        </w:tc>
        <w:tc>
          <w:tcPr>
            <w:tcW w:w="342" w:type="pct"/>
            <w:tcBorders>
              <w:top w:val="nil"/>
              <w:left w:val="single" w:sz="4" w:space="0" w:color="auto"/>
              <w:bottom w:val="single" w:sz="4" w:space="0" w:color="auto"/>
            </w:tcBorders>
            <w:vAlign w:val="center"/>
            <w:hideMark/>
          </w:tcPr>
          <w:p w14:paraId="5231085A" w14:textId="10C44A6A"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1.81</w:t>
            </w:r>
          </w:p>
        </w:tc>
        <w:tc>
          <w:tcPr>
            <w:tcW w:w="507" w:type="pct"/>
            <w:tcBorders>
              <w:top w:val="nil"/>
              <w:bottom w:val="single" w:sz="4" w:space="0" w:color="auto"/>
            </w:tcBorders>
            <w:vAlign w:val="center"/>
            <w:hideMark/>
          </w:tcPr>
          <w:p w14:paraId="3E1A41D5" w14:textId="7D9DEE47"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2.10</w:t>
            </w:r>
          </w:p>
        </w:tc>
        <w:tc>
          <w:tcPr>
            <w:tcW w:w="536" w:type="pct"/>
            <w:tcBorders>
              <w:top w:val="nil"/>
              <w:bottom w:val="single" w:sz="4" w:space="0" w:color="auto"/>
            </w:tcBorders>
            <w:vAlign w:val="center"/>
            <w:hideMark/>
          </w:tcPr>
          <w:p w14:paraId="105C59C1" w14:textId="3D1C2690"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1.95</w:t>
            </w:r>
          </w:p>
        </w:tc>
      </w:tr>
      <w:tr w:rsidR="006D7DCA" w:rsidRPr="006D7DCA" w14:paraId="02750379" w14:textId="77777777" w:rsidTr="00DE401D">
        <w:trPr>
          <w:trHeight w:hRule="exact" w:val="340"/>
          <w:jc w:val="center"/>
        </w:trPr>
        <w:tc>
          <w:tcPr>
            <w:tcW w:w="524" w:type="pct"/>
            <w:vMerge/>
            <w:tcBorders>
              <w:top w:val="nil"/>
              <w:bottom w:val="single" w:sz="4" w:space="0" w:color="auto"/>
            </w:tcBorders>
            <w:vAlign w:val="center"/>
            <w:hideMark/>
          </w:tcPr>
          <w:p w14:paraId="15944533" w14:textId="77777777" w:rsidR="005F5B66" w:rsidRPr="006D7DCA" w:rsidRDefault="005F5B66" w:rsidP="005F5B66">
            <w:pPr>
              <w:spacing w:after="0" w:line="256" w:lineRule="auto"/>
              <w:rPr>
                <w:rFonts w:ascii="Times New Roman" w:eastAsia="Calibri" w:hAnsi="Times New Roman" w:cs="Times New Roman"/>
                <w:sz w:val="16"/>
                <w:szCs w:val="16"/>
              </w:rPr>
            </w:pPr>
          </w:p>
        </w:tc>
        <w:tc>
          <w:tcPr>
            <w:tcW w:w="319" w:type="pct"/>
            <w:tcBorders>
              <w:top w:val="single" w:sz="4" w:space="0" w:color="auto"/>
              <w:bottom w:val="single" w:sz="4" w:space="0" w:color="auto"/>
            </w:tcBorders>
            <w:vAlign w:val="center"/>
            <w:hideMark/>
          </w:tcPr>
          <w:p w14:paraId="742F7FC7" w14:textId="75D2306A" w:rsidR="005F5B66" w:rsidRPr="006D7DCA" w:rsidRDefault="00DE401D" w:rsidP="005F5B66">
            <w:pPr>
              <w:spacing w:after="0" w:line="256" w:lineRule="auto"/>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85" w:type="pct"/>
            <w:gridSpan w:val="3"/>
            <w:tcBorders>
              <w:top w:val="single" w:sz="4" w:space="0" w:color="auto"/>
              <w:bottom w:val="single" w:sz="4" w:space="0" w:color="auto"/>
              <w:right w:val="single" w:sz="4" w:space="0" w:color="auto"/>
            </w:tcBorders>
            <w:vAlign w:val="center"/>
            <w:hideMark/>
          </w:tcPr>
          <w:p w14:paraId="5D45F5B8" w14:textId="0961CACC"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0.013</w:t>
            </w:r>
          </w:p>
        </w:tc>
        <w:tc>
          <w:tcPr>
            <w:tcW w:w="1386" w:type="pct"/>
            <w:gridSpan w:val="3"/>
            <w:tcBorders>
              <w:top w:val="single" w:sz="4" w:space="0" w:color="auto"/>
              <w:left w:val="single" w:sz="4" w:space="0" w:color="auto"/>
              <w:bottom w:val="single" w:sz="4" w:space="0" w:color="auto"/>
              <w:right w:val="single" w:sz="4" w:space="0" w:color="auto"/>
            </w:tcBorders>
            <w:vAlign w:val="center"/>
            <w:hideMark/>
          </w:tcPr>
          <w:p w14:paraId="5FF07A92" w14:textId="2EE2D60F"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0.003</w:t>
            </w:r>
          </w:p>
        </w:tc>
        <w:tc>
          <w:tcPr>
            <w:tcW w:w="1385" w:type="pct"/>
            <w:gridSpan w:val="3"/>
            <w:tcBorders>
              <w:top w:val="single" w:sz="4" w:space="0" w:color="auto"/>
              <w:left w:val="single" w:sz="4" w:space="0" w:color="auto"/>
              <w:bottom w:val="single" w:sz="4" w:space="0" w:color="auto"/>
            </w:tcBorders>
            <w:vAlign w:val="center"/>
            <w:hideMark/>
          </w:tcPr>
          <w:p w14:paraId="279B0E01" w14:textId="1C70E571"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46715178" w14:textId="77777777" w:rsidTr="00DE401D">
        <w:trPr>
          <w:trHeight w:hRule="exact" w:val="340"/>
          <w:jc w:val="center"/>
        </w:trPr>
        <w:tc>
          <w:tcPr>
            <w:tcW w:w="524" w:type="pct"/>
            <w:vMerge w:val="restart"/>
            <w:tcBorders>
              <w:top w:val="single" w:sz="4" w:space="0" w:color="auto"/>
            </w:tcBorders>
            <w:vAlign w:val="center"/>
            <w:hideMark/>
          </w:tcPr>
          <w:p w14:paraId="192FF70B" w14:textId="4CB69E2D"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Calidad de sueño</w:t>
            </w:r>
          </w:p>
        </w:tc>
        <w:tc>
          <w:tcPr>
            <w:tcW w:w="319" w:type="pct"/>
            <w:tcBorders>
              <w:top w:val="single" w:sz="4" w:space="0" w:color="auto"/>
              <w:bottom w:val="nil"/>
            </w:tcBorders>
            <w:vAlign w:val="center"/>
            <w:hideMark/>
          </w:tcPr>
          <w:p w14:paraId="60250EED" w14:textId="4CC9C694"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42" w:type="pct"/>
            <w:tcBorders>
              <w:top w:val="single" w:sz="4" w:space="0" w:color="auto"/>
              <w:bottom w:val="nil"/>
            </w:tcBorders>
            <w:vAlign w:val="center"/>
            <w:hideMark/>
          </w:tcPr>
          <w:p w14:paraId="08BA8134" w14:textId="274558AE"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5.64</w:t>
            </w:r>
          </w:p>
        </w:tc>
        <w:tc>
          <w:tcPr>
            <w:tcW w:w="507" w:type="pct"/>
            <w:tcBorders>
              <w:top w:val="single" w:sz="4" w:space="0" w:color="auto"/>
              <w:bottom w:val="nil"/>
            </w:tcBorders>
            <w:vAlign w:val="center"/>
            <w:hideMark/>
          </w:tcPr>
          <w:p w14:paraId="75FB58F7" w14:textId="69C32F55"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8.52</w:t>
            </w:r>
          </w:p>
        </w:tc>
        <w:tc>
          <w:tcPr>
            <w:tcW w:w="536" w:type="pct"/>
            <w:tcBorders>
              <w:top w:val="single" w:sz="4" w:space="0" w:color="auto"/>
              <w:bottom w:val="nil"/>
              <w:right w:val="single" w:sz="4" w:space="0" w:color="auto"/>
            </w:tcBorders>
            <w:vAlign w:val="center"/>
            <w:hideMark/>
          </w:tcPr>
          <w:p w14:paraId="4690FAF5" w14:textId="75518203"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10.20</w:t>
            </w:r>
          </w:p>
        </w:tc>
        <w:tc>
          <w:tcPr>
            <w:tcW w:w="342" w:type="pct"/>
            <w:tcBorders>
              <w:top w:val="single" w:sz="4" w:space="0" w:color="auto"/>
              <w:left w:val="single" w:sz="4" w:space="0" w:color="auto"/>
              <w:bottom w:val="nil"/>
            </w:tcBorders>
            <w:vAlign w:val="center"/>
            <w:hideMark/>
          </w:tcPr>
          <w:p w14:paraId="42F87354" w14:textId="34A17808"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5.75</w:t>
            </w:r>
          </w:p>
        </w:tc>
        <w:tc>
          <w:tcPr>
            <w:tcW w:w="507" w:type="pct"/>
            <w:tcBorders>
              <w:top w:val="single" w:sz="4" w:space="0" w:color="auto"/>
              <w:bottom w:val="nil"/>
            </w:tcBorders>
            <w:vAlign w:val="center"/>
            <w:hideMark/>
          </w:tcPr>
          <w:p w14:paraId="506D2DB0" w14:textId="127CC6D1"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7.96</w:t>
            </w:r>
          </w:p>
        </w:tc>
        <w:tc>
          <w:tcPr>
            <w:tcW w:w="537" w:type="pct"/>
            <w:tcBorders>
              <w:top w:val="single" w:sz="4" w:space="0" w:color="auto"/>
              <w:bottom w:val="nil"/>
              <w:right w:val="single" w:sz="4" w:space="0" w:color="auto"/>
            </w:tcBorders>
            <w:vAlign w:val="center"/>
            <w:hideMark/>
          </w:tcPr>
          <w:p w14:paraId="077EA06B" w14:textId="5F22E668"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10.05</w:t>
            </w:r>
          </w:p>
        </w:tc>
        <w:tc>
          <w:tcPr>
            <w:tcW w:w="342" w:type="pct"/>
            <w:tcBorders>
              <w:top w:val="single" w:sz="4" w:space="0" w:color="auto"/>
              <w:left w:val="single" w:sz="4" w:space="0" w:color="auto"/>
              <w:bottom w:val="nil"/>
            </w:tcBorders>
            <w:vAlign w:val="center"/>
            <w:hideMark/>
          </w:tcPr>
          <w:p w14:paraId="1FDCD66E" w14:textId="408E8740"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5.95</w:t>
            </w:r>
          </w:p>
        </w:tc>
        <w:tc>
          <w:tcPr>
            <w:tcW w:w="507" w:type="pct"/>
            <w:tcBorders>
              <w:top w:val="single" w:sz="4" w:space="0" w:color="auto"/>
              <w:bottom w:val="nil"/>
            </w:tcBorders>
            <w:vAlign w:val="center"/>
            <w:hideMark/>
          </w:tcPr>
          <w:p w14:paraId="761AFE38" w14:textId="66575524"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8.30</w:t>
            </w:r>
          </w:p>
        </w:tc>
        <w:tc>
          <w:tcPr>
            <w:tcW w:w="536" w:type="pct"/>
            <w:tcBorders>
              <w:top w:val="single" w:sz="4" w:space="0" w:color="auto"/>
              <w:bottom w:val="nil"/>
            </w:tcBorders>
            <w:vAlign w:val="center"/>
            <w:hideMark/>
          </w:tcPr>
          <w:p w14:paraId="04979665" w14:textId="6A0BB5DA"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9.94</w:t>
            </w:r>
          </w:p>
        </w:tc>
      </w:tr>
      <w:tr w:rsidR="006D7DCA" w:rsidRPr="006D7DCA" w14:paraId="7FF951FE" w14:textId="77777777" w:rsidTr="00DE401D">
        <w:trPr>
          <w:trHeight w:hRule="exact" w:val="340"/>
          <w:jc w:val="center"/>
        </w:trPr>
        <w:tc>
          <w:tcPr>
            <w:tcW w:w="524" w:type="pct"/>
            <w:vMerge/>
            <w:vAlign w:val="center"/>
            <w:hideMark/>
          </w:tcPr>
          <w:p w14:paraId="044F4BF4" w14:textId="77777777" w:rsidR="005F5B66" w:rsidRPr="006D7DCA" w:rsidRDefault="005F5B66" w:rsidP="005F5B66">
            <w:pPr>
              <w:spacing w:after="0" w:line="256" w:lineRule="auto"/>
              <w:rPr>
                <w:rFonts w:ascii="Times New Roman" w:eastAsia="Calibri" w:hAnsi="Times New Roman" w:cs="Times New Roman"/>
                <w:sz w:val="16"/>
                <w:szCs w:val="16"/>
              </w:rPr>
            </w:pPr>
          </w:p>
        </w:tc>
        <w:tc>
          <w:tcPr>
            <w:tcW w:w="319" w:type="pct"/>
            <w:tcBorders>
              <w:top w:val="nil"/>
              <w:bottom w:val="single" w:sz="4" w:space="0" w:color="auto"/>
            </w:tcBorders>
            <w:vAlign w:val="center"/>
            <w:hideMark/>
          </w:tcPr>
          <w:p w14:paraId="71217D92" w14:textId="34C7B826" w:rsidR="005F5B66" w:rsidRPr="006D7DCA" w:rsidRDefault="005F5B66" w:rsidP="005F5B66">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42" w:type="pct"/>
            <w:tcBorders>
              <w:top w:val="nil"/>
              <w:bottom w:val="single" w:sz="4" w:space="0" w:color="auto"/>
            </w:tcBorders>
            <w:vAlign w:val="center"/>
            <w:hideMark/>
          </w:tcPr>
          <w:p w14:paraId="2CDB3124" w14:textId="5E25975C"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2.94</w:t>
            </w:r>
          </w:p>
        </w:tc>
        <w:tc>
          <w:tcPr>
            <w:tcW w:w="507" w:type="pct"/>
            <w:tcBorders>
              <w:top w:val="nil"/>
              <w:bottom w:val="single" w:sz="4" w:space="0" w:color="auto"/>
            </w:tcBorders>
            <w:vAlign w:val="center"/>
            <w:hideMark/>
          </w:tcPr>
          <w:p w14:paraId="6FF90984" w14:textId="40A93756"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3.76</w:t>
            </w:r>
          </w:p>
        </w:tc>
        <w:tc>
          <w:tcPr>
            <w:tcW w:w="536" w:type="pct"/>
            <w:tcBorders>
              <w:top w:val="nil"/>
              <w:bottom w:val="single" w:sz="4" w:space="0" w:color="auto"/>
              <w:right w:val="single" w:sz="4" w:space="0" w:color="auto"/>
            </w:tcBorders>
            <w:vAlign w:val="center"/>
            <w:hideMark/>
          </w:tcPr>
          <w:p w14:paraId="3FEF0C2F" w14:textId="7E486DD1"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3.92</w:t>
            </w:r>
          </w:p>
        </w:tc>
        <w:tc>
          <w:tcPr>
            <w:tcW w:w="342" w:type="pct"/>
            <w:tcBorders>
              <w:top w:val="nil"/>
              <w:left w:val="single" w:sz="4" w:space="0" w:color="auto"/>
              <w:bottom w:val="single" w:sz="4" w:space="0" w:color="auto"/>
            </w:tcBorders>
            <w:vAlign w:val="center"/>
            <w:hideMark/>
          </w:tcPr>
          <w:p w14:paraId="50B32B09" w14:textId="02A24C3D"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3.13</w:t>
            </w:r>
          </w:p>
        </w:tc>
        <w:tc>
          <w:tcPr>
            <w:tcW w:w="507" w:type="pct"/>
            <w:tcBorders>
              <w:top w:val="nil"/>
              <w:bottom w:val="single" w:sz="4" w:space="0" w:color="auto"/>
            </w:tcBorders>
            <w:vAlign w:val="center"/>
            <w:hideMark/>
          </w:tcPr>
          <w:p w14:paraId="0486C872" w14:textId="4488886B"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3.45</w:t>
            </w:r>
          </w:p>
        </w:tc>
        <w:tc>
          <w:tcPr>
            <w:tcW w:w="537" w:type="pct"/>
            <w:tcBorders>
              <w:top w:val="nil"/>
              <w:bottom w:val="single" w:sz="4" w:space="0" w:color="auto"/>
              <w:right w:val="single" w:sz="4" w:space="0" w:color="auto"/>
            </w:tcBorders>
            <w:vAlign w:val="center"/>
            <w:hideMark/>
          </w:tcPr>
          <w:p w14:paraId="41C47E87" w14:textId="5359A7F1"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3.99</w:t>
            </w:r>
          </w:p>
        </w:tc>
        <w:tc>
          <w:tcPr>
            <w:tcW w:w="342" w:type="pct"/>
            <w:tcBorders>
              <w:top w:val="nil"/>
              <w:left w:val="single" w:sz="4" w:space="0" w:color="auto"/>
              <w:bottom w:val="single" w:sz="4" w:space="0" w:color="auto"/>
            </w:tcBorders>
            <w:vAlign w:val="center"/>
            <w:hideMark/>
          </w:tcPr>
          <w:p w14:paraId="2A36D4F7" w14:textId="7C301D22"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3.25</w:t>
            </w:r>
          </w:p>
        </w:tc>
        <w:tc>
          <w:tcPr>
            <w:tcW w:w="507" w:type="pct"/>
            <w:tcBorders>
              <w:top w:val="nil"/>
              <w:bottom w:val="single" w:sz="4" w:space="0" w:color="auto"/>
            </w:tcBorders>
            <w:vAlign w:val="center"/>
            <w:hideMark/>
          </w:tcPr>
          <w:p w14:paraId="1494CBFE" w14:textId="4A40D8A9"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3.57</w:t>
            </w:r>
          </w:p>
        </w:tc>
        <w:tc>
          <w:tcPr>
            <w:tcW w:w="536" w:type="pct"/>
            <w:tcBorders>
              <w:top w:val="nil"/>
              <w:bottom w:val="single" w:sz="4" w:space="0" w:color="auto"/>
            </w:tcBorders>
            <w:vAlign w:val="center"/>
            <w:hideMark/>
          </w:tcPr>
          <w:p w14:paraId="2B6294F5" w14:textId="779C199D"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4.15</w:t>
            </w:r>
          </w:p>
        </w:tc>
      </w:tr>
      <w:tr w:rsidR="006D7DCA" w:rsidRPr="006D7DCA" w14:paraId="2F3F4B79" w14:textId="77777777" w:rsidTr="00DE401D">
        <w:trPr>
          <w:trHeight w:hRule="exact" w:val="340"/>
          <w:jc w:val="center"/>
        </w:trPr>
        <w:tc>
          <w:tcPr>
            <w:tcW w:w="524" w:type="pct"/>
            <w:vMerge/>
            <w:vAlign w:val="center"/>
            <w:hideMark/>
          </w:tcPr>
          <w:p w14:paraId="1ACB790F" w14:textId="77777777" w:rsidR="005F5B66" w:rsidRPr="006D7DCA" w:rsidRDefault="005F5B66" w:rsidP="005F5B66">
            <w:pPr>
              <w:spacing w:after="0" w:line="256" w:lineRule="auto"/>
              <w:rPr>
                <w:rFonts w:ascii="Times New Roman" w:eastAsia="Calibri" w:hAnsi="Times New Roman" w:cs="Times New Roman"/>
                <w:sz w:val="16"/>
                <w:szCs w:val="16"/>
              </w:rPr>
            </w:pPr>
          </w:p>
        </w:tc>
        <w:tc>
          <w:tcPr>
            <w:tcW w:w="319" w:type="pct"/>
            <w:tcBorders>
              <w:top w:val="single" w:sz="4" w:space="0" w:color="auto"/>
            </w:tcBorders>
            <w:vAlign w:val="center"/>
            <w:hideMark/>
          </w:tcPr>
          <w:p w14:paraId="0AEFEAA0" w14:textId="3DDD9F89" w:rsidR="005F5B66" w:rsidRPr="006D7DCA" w:rsidRDefault="00DE401D" w:rsidP="005F5B66">
            <w:pPr>
              <w:spacing w:after="0" w:line="256" w:lineRule="auto"/>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85" w:type="pct"/>
            <w:gridSpan w:val="3"/>
            <w:tcBorders>
              <w:top w:val="single" w:sz="4" w:space="0" w:color="auto"/>
              <w:right w:val="single" w:sz="4" w:space="0" w:color="auto"/>
            </w:tcBorders>
            <w:vAlign w:val="center"/>
            <w:hideMark/>
          </w:tcPr>
          <w:p w14:paraId="3108BC1D" w14:textId="0541AB61"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86" w:type="pct"/>
            <w:gridSpan w:val="3"/>
            <w:tcBorders>
              <w:top w:val="single" w:sz="4" w:space="0" w:color="auto"/>
              <w:left w:val="single" w:sz="4" w:space="0" w:color="auto"/>
              <w:bottom w:val="single" w:sz="4" w:space="0" w:color="auto"/>
              <w:right w:val="single" w:sz="4" w:space="0" w:color="auto"/>
            </w:tcBorders>
            <w:vAlign w:val="center"/>
            <w:hideMark/>
          </w:tcPr>
          <w:p w14:paraId="37258305" w14:textId="2E8FBAFE"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85" w:type="pct"/>
            <w:gridSpan w:val="3"/>
            <w:tcBorders>
              <w:top w:val="single" w:sz="4" w:space="0" w:color="auto"/>
              <w:left w:val="single" w:sz="4" w:space="0" w:color="auto"/>
            </w:tcBorders>
            <w:vAlign w:val="center"/>
            <w:hideMark/>
          </w:tcPr>
          <w:p w14:paraId="35203288" w14:textId="797D787A" w:rsidR="005F5B66" w:rsidRPr="006D7DCA" w:rsidRDefault="005F5B66" w:rsidP="005F5B66">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bl>
    <w:bookmarkEnd w:id="3"/>
    <w:p w14:paraId="2A3F200C" w14:textId="488DA281" w:rsidR="00171BC2" w:rsidRPr="006D7DCA" w:rsidRDefault="001A3829" w:rsidP="00171BC2">
      <w:pPr>
        <w:spacing w:before="240"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 xml:space="preserve">La Tabla </w:t>
      </w:r>
      <w:r w:rsidR="00166475" w:rsidRPr="006D7DCA">
        <w:rPr>
          <w:rFonts w:ascii="Times New Roman" w:eastAsia="Calibri" w:hAnsi="Times New Roman" w:cs="Times New Roman"/>
          <w:sz w:val="22"/>
          <w:szCs w:val="22"/>
        </w:rPr>
        <w:t>3</w:t>
      </w:r>
      <w:r w:rsidRPr="006D7DCA">
        <w:rPr>
          <w:rFonts w:ascii="Times New Roman" w:eastAsia="Calibri" w:hAnsi="Times New Roman" w:cs="Times New Roman"/>
          <w:sz w:val="22"/>
          <w:szCs w:val="22"/>
        </w:rPr>
        <w:t xml:space="preserve"> muestra los niveles de </w:t>
      </w:r>
      <w:proofErr w:type="spellStart"/>
      <w:r w:rsidRPr="006D7DCA">
        <w:rPr>
          <w:rFonts w:ascii="Times New Roman" w:eastAsia="Calibri" w:hAnsi="Times New Roman" w:cs="Times New Roman"/>
          <w:sz w:val="22"/>
          <w:szCs w:val="22"/>
        </w:rPr>
        <w:t>engagement</w:t>
      </w:r>
      <w:proofErr w:type="spellEnd"/>
      <w:r w:rsidRPr="006D7DCA">
        <w:rPr>
          <w:rFonts w:ascii="Times New Roman" w:eastAsia="Calibri" w:hAnsi="Times New Roman" w:cs="Times New Roman"/>
          <w:sz w:val="22"/>
          <w:szCs w:val="22"/>
        </w:rPr>
        <w:t xml:space="preserve"> y burnout del estudiantado universitario según sus niveles de estrés, ansiedad y depresión. </w:t>
      </w:r>
      <w:r w:rsidR="004B710E" w:rsidRPr="006D7DCA">
        <w:rPr>
          <w:rFonts w:ascii="Times New Roman" w:eastAsia="Calibri" w:hAnsi="Times New Roman" w:cs="Times New Roman"/>
          <w:sz w:val="22"/>
          <w:szCs w:val="22"/>
        </w:rPr>
        <w:t xml:space="preserve">El estudiantado con niveles severos o extremadamente severos de estas condiciones presentó menores puntuaciones en vigor, dedicación y absorción del </w:t>
      </w:r>
      <w:proofErr w:type="spellStart"/>
      <w:r w:rsidR="004B710E" w:rsidRPr="006D7DCA">
        <w:rPr>
          <w:rFonts w:ascii="Times New Roman" w:eastAsia="Calibri" w:hAnsi="Times New Roman" w:cs="Times New Roman"/>
          <w:sz w:val="22"/>
          <w:szCs w:val="22"/>
        </w:rPr>
        <w:t>engagement</w:t>
      </w:r>
      <w:proofErr w:type="spellEnd"/>
      <w:r w:rsidR="004B710E" w:rsidRPr="006D7DCA">
        <w:rPr>
          <w:rFonts w:ascii="Times New Roman" w:eastAsia="Calibri" w:hAnsi="Times New Roman" w:cs="Times New Roman"/>
          <w:sz w:val="22"/>
          <w:szCs w:val="22"/>
        </w:rPr>
        <w:t xml:space="preserve"> académico, así como puntuaciones más bajas en eficiencia académica. En contraste, este mismo grupo presentó puntuaciones más elevadas en cinismo y agotamiento emocional.</w:t>
      </w:r>
    </w:p>
    <w:p w14:paraId="52BD43F3" w14:textId="216F1CF2" w:rsidR="00171BC2" w:rsidRPr="006D7DCA" w:rsidRDefault="00171BC2" w:rsidP="00171BC2">
      <w:pPr>
        <w:spacing w:line="256" w:lineRule="auto"/>
        <w:rPr>
          <w:rFonts w:ascii="Times New Roman" w:eastAsia="Calibri" w:hAnsi="Times New Roman" w:cs="Times New Roman"/>
          <w:sz w:val="22"/>
          <w:szCs w:val="22"/>
        </w:rPr>
      </w:pPr>
      <w:r w:rsidRPr="006D7DCA">
        <w:rPr>
          <w:rFonts w:ascii="Times New Roman" w:eastAsia="Calibri" w:hAnsi="Times New Roman" w:cs="Times New Roman"/>
          <w:b/>
          <w:bCs/>
          <w:sz w:val="22"/>
          <w:szCs w:val="22"/>
        </w:rPr>
        <w:t xml:space="preserve">Tabla </w:t>
      </w:r>
      <w:r w:rsidR="00166475" w:rsidRPr="006D7DCA">
        <w:rPr>
          <w:rFonts w:ascii="Times New Roman" w:eastAsia="Calibri" w:hAnsi="Times New Roman" w:cs="Times New Roman"/>
          <w:b/>
          <w:bCs/>
          <w:sz w:val="22"/>
          <w:szCs w:val="22"/>
        </w:rPr>
        <w:t>3</w:t>
      </w:r>
      <w:r w:rsidRPr="006D7DCA">
        <w:rPr>
          <w:rFonts w:ascii="Times New Roman" w:eastAsia="Calibri" w:hAnsi="Times New Roman" w:cs="Times New Roman"/>
          <w:b/>
          <w:bCs/>
          <w:sz w:val="22"/>
          <w:szCs w:val="22"/>
        </w:rPr>
        <w:t>.</w:t>
      </w:r>
      <w:r w:rsidRPr="006D7DCA">
        <w:rPr>
          <w:rFonts w:ascii="Times New Roman" w:eastAsia="Calibri" w:hAnsi="Times New Roman" w:cs="Times New Roman"/>
          <w:sz w:val="22"/>
          <w:szCs w:val="22"/>
        </w:rPr>
        <w:t xml:space="preserve"> </w:t>
      </w:r>
      <w:proofErr w:type="spellStart"/>
      <w:r w:rsidR="001A3829" w:rsidRPr="006D7DCA">
        <w:rPr>
          <w:rFonts w:ascii="Times New Roman" w:eastAsia="Calibri" w:hAnsi="Times New Roman" w:cs="Times New Roman"/>
          <w:i/>
          <w:iCs/>
          <w:sz w:val="22"/>
          <w:szCs w:val="22"/>
        </w:rPr>
        <w:t>Engagement</w:t>
      </w:r>
      <w:proofErr w:type="spellEnd"/>
      <w:r w:rsidR="001A3829" w:rsidRPr="006D7DCA">
        <w:rPr>
          <w:rFonts w:ascii="Times New Roman" w:eastAsia="Calibri" w:hAnsi="Times New Roman" w:cs="Times New Roman"/>
          <w:i/>
          <w:iCs/>
          <w:sz w:val="22"/>
          <w:szCs w:val="22"/>
        </w:rPr>
        <w:t xml:space="preserve"> y burnout en función de los niveles de estrés, ansiedad y depresión del estudiantado universitario.</w:t>
      </w:r>
    </w:p>
    <w:tbl>
      <w:tblPr>
        <w:tblW w:w="5000" w:type="pct"/>
        <w:jc w:val="center"/>
        <w:tblBorders>
          <w:top w:val="single" w:sz="4" w:space="0" w:color="auto"/>
          <w:bottom w:val="single" w:sz="4" w:space="0" w:color="auto"/>
        </w:tblBorders>
        <w:tblCellMar>
          <w:left w:w="57" w:type="dxa"/>
          <w:right w:w="57" w:type="dxa"/>
        </w:tblCellMar>
        <w:tblLook w:val="04A0" w:firstRow="1" w:lastRow="0" w:firstColumn="1" w:lastColumn="0" w:noHBand="0" w:noVBand="1"/>
      </w:tblPr>
      <w:tblGrid>
        <w:gridCol w:w="1133"/>
        <w:gridCol w:w="587"/>
        <w:gridCol w:w="640"/>
        <w:gridCol w:w="827"/>
        <w:gridCol w:w="794"/>
        <w:gridCol w:w="640"/>
        <w:gridCol w:w="828"/>
        <w:gridCol w:w="796"/>
        <w:gridCol w:w="640"/>
        <w:gridCol w:w="828"/>
        <w:gridCol w:w="791"/>
      </w:tblGrid>
      <w:tr w:rsidR="006D7DCA" w:rsidRPr="006D7DCA" w14:paraId="15F5A260" w14:textId="77777777" w:rsidTr="00DE401D">
        <w:trPr>
          <w:trHeight w:val="543"/>
          <w:jc w:val="center"/>
        </w:trPr>
        <w:tc>
          <w:tcPr>
            <w:tcW w:w="667" w:type="pct"/>
            <w:tcBorders>
              <w:top w:val="single" w:sz="4" w:space="0" w:color="auto"/>
              <w:left w:val="nil"/>
              <w:bottom w:val="single" w:sz="4" w:space="0" w:color="auto"/>
              <w:right w:val="nil"/>
            </w:tcBorders>
            <w:vAlign w:val="center"/>
          </w:tcPr>
          <w:p w14:paraId="41E4A814" w14:textId="77777777" w:rsidR="001A3829" w:rsidRPr="006D7DCA" w:rsidRDefault="001A3829" w:rsidP="001A3829">
            <w:pPr>
              <w:spacing w:after="0" w:line="256" w:lineRule="auto"/>
              <w:rPr>
                <w:rFonts w:ascii="Times New Roman" w:eastAsia="Calibri" w:hAnsi="Times New Roman" w:cs="Times New Roman"/>
                <w:sz w:val="16"/>
                <w:szCs w:val="16"/>
              </w:rPr>
            </w:pPr>
          </w:p>
        </w:tc>
        <w:tc>
          <w:tcPr>
            <w:tcW w:w="345" w:type="pct"/>
            <w:tcBorders>
              <w:top w:val="single" w:sz="4" w:space="0" w:color="auto"/>
              <w:left w:val="nil"/>
              <w:bottom w:val="single" w:sz="4" w:space="0" w:color="auto"/>
              <w:right w:val="nil"/>
            </w:tcBorders>
            <w:vAlign w:val="center"/>
          </w:tcPr>
          <w:p w14:paraId="7C10E932" w14:textId="77777777" w:rsidR="001A3829" w:rsidRPr="006D7DCA" w:rsidRDefault="001A3829" w:rsidP="001A3829">
            <w:pPr>
              <w:spacing w:after="0" w:line="256" w:lineRule="auto"/>
              <w:jc w:val="center"/>
              <w:rPr>
                <w:rFonts w:ascii="Times New Roman" w:eastAsia="Calibri" w:hAnsi="Times New Roman" w:cs="Times New Roman"/>
                <w:sz w:val="16"/>
                <w:szCs w:val="16"/>
              </w:rPr>
            </w:pPr>
          </w:p>
        </w:tc>
        <w:tc>
          <w:tcPr>
            <w:tcW w:w="1329" w:type="pct"/>
            <w:gridSpan w:val="3"/>
            <w:tcBorders>
              <w:top w:val="single" w:sz="4" w:space="0" w:color="auto"/>
              <w:left w:val="nil"/>
              <w:bottom w:val="single" w:sz="4" w:space="0" w:color="auto"/>
              <w:right w:val="single" w:sz="4" w:space="0" w:color="auto"/>
            </w:tcBorders>
            <w:vAlign w:val="center"/>
            <w:hideMark/>
          </w:tcPr>
          <w:p w14:paraId="2FCF0C84" w14:textId="35CAF6C8"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Estrés</w:t>
            </w:r>
          </w:p>
        </w:tc>
        <w:tc>
          <w:tcPr>
            <w:tcW w:w="1331" w:type="pct"/>
            <w:gridSpan w:val="3"/>
            <w:tcBorders>
              <w:top w:val="single" w:sz="4" w:space="0" w:color="auto"/>
              <w:left w:val="single" w:sz="4" w:space="0" w:color="auto"/>
              <w:bottom w:val="single" w:sz="4" w:space="0" w:color="auto"/>
              <w:right w:val="single" w:sz="4" w:space="0" w:color="auto"/>
            </w:tcBorders>
            <w:vAlign w:val="center"/>
            <w:hideMark/>
          </w:tcPr>
          <w:p w14:paraId="351FE66A" w14:textId="6EEAF6D0"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Ansiedad</w:t>
            </w:r>
          </w:p>
        </w:tc>
        <w:tc>
          <w:tcPr>
            <w:tcW w:w="1329" w:type="pct"/>
            <w:gridSpan w:val="3"/>
            <w:tcBorders>
              <w:top w:val="single" w:sz="4" w:space="0" w:color="auto"/>
              <w:left w:val="single" w:sz="4" w:space="0" w:color="auto"/>
              <w:bottom w:val="single" w:sz="4" w:space="0" w:color="auto"/>
              <w:right w:val="nil"/>
            </w:tcBorders>
            <w:vAlign w:val="center"/>
            <w:hideMark/>
          </w:tcPr>
          <w:p w14:paraId="23D74EC5" w14:textId="1D135F98"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Depresión</w:t>
            </w:r>
          </w:p>
        </w:tc>
      </w:tr>
      <w:tr w:rsidR="006D7DCA" w:rsidRPr="006D7DCA" w14:paraId="223BC4D9" w14:textId="77777777" w:rsidTr="00DE401D">
        <w:trPr>
          <w:trHeight w:val="520"/>
          <w:jc w:val="center"/>
        </w:trPr>
        <w:tc>
          <w:tcPr>
            <w:tcW w:w="667" w:type="pct"/>
            <w:tcBorders>
              <w:top w:val="single" w:sz="4" w:space="0" w:color="auto"/>
              <w:left w:val="nil"/>
              <w:bottom w:val="single" w:sz="4" w:space="0" w:color="auto"/>
              <w:right w:val="nil"/>
            </w:tcBorders>
            <w:vAlign w:val="center"/>
          </w:tcPr>
          <w:p w14:paraId="0B63094E" w14:textId="77777777"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45" w:type="pct"/>
            <w:tcBorders>
              <w:top w:val="single" w:sz="4" w:space="0" w:color="auto"/>
              <w:left w:val="nil"/>
              <w:bottom w:val="single" w:sz="4" w:space="0" w:color="auto"/>
              <w:right w:val="nil"/>
            </w:tcBorders>
            <w:vAlign w:val="center"/>
          </w:tcPr>
          <w:p w14:paraId="7168B34D" w14:textId="77777777"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76" w:type="pct"/>
            <w:tcBorders>
              <w:top w:val="single" w:sz="4" w:space="0" w:color="auto"/>
              <w:left w:val="nil"/>
              <w:bottom w:val="single" w:sz="4" w:space="0" w:color="auto"/>
              <w:right w:val="nil"/>
            </w:tcBorders>
            <w:vAlign w:val="center"/>
            <w:hideMark/>
          </w:tcPr>
          <w:p w14:paraId="0CC30AEE"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Normal</w:t>
            </w:r>
          </w:p>
          <w:p w14:paraId="77549107" w14:textId="1A4D4B4D"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86" w:type="pct"/>
            <w:tcBorders>
              <w:top w:val="single" w:sz="4" w:space="0" w:color="auto"/>
              <w:left w:val="nil"/>
              <w:bottom w:val="single" w:sz="4" w:space="0" w:color="auto"/>
              <w:right w:val="nil"/>
            </w:tcBorders>
            <w:vAlign w:val="center"/>
            <w:hideMark/>
          </w:tcPr>
          <w:p w14:paraId="3186F23A"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Leve/ moderado</w:t>
            </w:r>
          </w:p>
          <w:p w14:paraId="51346C1A" w14:textId="5F398CE0"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67" w:type="pct"/>
            <w:tcBorders>
              <w:top w:val="single" w:sz="4" w:space="0" w:color="auto"/>
              <w:left w:val="nil"/>
              <w:bottom w:val="single" w:sz="4" w:space="0" w:color="auto"/>
              <w:right w:val="single" w:sz="4" w:space="0" w:color="auto"/>
            </w:tcBorders>
            <w:vAlign w:val="center"/>
            <w:hideMark/>
          </w:tcPr>
          <w:p w14:paraId="21076387"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Severo/ </w:t>
            </w:r>
          </w:p>
          <w:p w14:paraId="3381FE52"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Ex. severo</w:t>
            </w:r>
          </w:p>
          <w:p w14:paraId="756C33B4" w14:textId="488E56B2"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76" w:type="pct"/>
            <w:tcBorders>
              <w:top w:val="single" w:sz="4" w:space="0" w:color="auto"/>
              <w:left w:val="single" w:sz="4" w:space="0" w:color="auto"/>
              <w:bottom w:val="single" w:sz="4" w:space="0" w:color="auto"/>
              <w:right w:val="nil"/>
            </w:tcBorders>
            <w:vAlign w:val="center"/>
            <w:hideMark/>
          </w:tcPr>
          <w:p w14:paraId="0008BEEC"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Normal</w:t>
            </w:r>
          </w:p>
          <w:p w14:paraId="0446467E" w14:textId="4C255677"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87" w:type="pct"/>
            <w:tcBorders>
              <w:top w:val="single" w:sz="4" w:space="0" w:color="auto"/>
              <w:left w:val="nil"/>
              <w:bottom w:val="single" w:sz="4" w:space="0" w:color="auto"/>
              <w:right w:val="nil"/>
            </w:tcBorders>
            <w:vAlign w:val="center"/>
            <w:hideMark/>
          </w:tcPr>
          <w:p w14:paraId="6A911F9A"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Leve/ moderado</w:t>
            </w:r>
          </w:p>
          <w:p w14:paraId="1C6EA117" w14:textId="2CE4715B"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67" w:type="pct"/>
            <w:tcBorders>
              <w:top w:val="single" w:sz="4" w:space="0" w:color="auto"/>
              <w:left w:val="nil"/>
              <w:bottom w:val="single" w:sz="4" w:space="0" w:color="auto"/>
              <w:right w:val="single" w:sz="4" w:space="0" w:color="auto"/>
            </w:tcBorders>
            <w:vAlign w:val="center"/>
            <w:hideMark/>
          </w:tcPr>
          <w:p w14:paraId="5C7635CE"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Severo/ </w:t>
            </w:r>
          </w:p>
          <w:p w14:paraId="3DFB05AA"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Ex. severo</w:t>
            </w:r>
          </w:p>
          <w:p w14:paraId="73FF7A06" w14:textId="188B02EB"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76" w:type="pct"/>
            <w:tcBorders>
              <w:top w:val="single" w:sz="4" w:space="0" w:color="auto"/>
              <w:left w:val="single" w:sz="4" w:space="0" w:color="auto"/>
              <w:bottom w:val="single" w:sz="4" w:space="0" w:color="auto"/>
              <w:right w:val="nil"/>
            </w:tcBorders>
            <w:vAlign w:val="center"/>
            <w:hideMark/>
          </w:tcPr>
          <w:p w14:paraId="4EBE2C1B"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Normal</w:t>
            </w:r>
          </w:p>
          <w:p w14:paraId="32D89D3F" w14:textId="7BB9895A"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87" w:type="pct"/>
            <w:tcBorders>
              <w:top w:val="single" w:sz="4" w:space="0" w:color="auto"/>
              <w:left w:val="nil"/>
              <w:bottom w:val="single" w:sz="4" w:space="0" w:color="auto"/>
              <w:right w:val="nil"/>
            </w:tcBorders>
            <w:vAlign w:val="center"/>
            <w:hideMark/>
          </w:tcPr>
          <w:p w14:paraId="70AEDAFA"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Leve/ moderado</w:t>
            </w:r>
          </w:p>
          <w:p w14:paraId="3CD7F121" w14:textId="08E3DBC3"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66" w:type="pct"/>
            <w:tcBorders>
              <w:top w:val="single" w:sz="4" w:space="0" w:color="auto"/>
              <w:left w:val="nil"/>
              <w:bottom w:val="single" w:sz="4" w:space="0" w:color="auto"/>
              <w:right w:val="nil"/>
            </w:tcBorders>
            <w:vAlign w:val="center"/>
            <w:hideMark/>
          </w:tcPr>
          <w:p w14:paraId="7F139A7C"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Severo/ </w:t>
            </w:r>
          </w:p>
          <w:p w14:paraId="2E1A7604"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Ex. severo</w:t>
            </w:r>
          </w:p>
          <w:p w14:paraId="16B46963" w14:textId="07F584BB" w:rsidR="00166475" w:rsidRPr="006D7DCA" w:rsidRDefault="00166475" w:rsidP="00166475">
            <w:pPr>
              <w:spacing w:after="0" w:line="256" w:lineRule="auto"/>
              <w:jc w:val="center"/>
              <w:rPr>
                <w:rFonts w:ascii="Times New Roman" w:eastAsia="Calibri" w:hAnsi="Times New Roman" w:cs="Times New Roman"/>
                <w:sz w:val="16"/>
                <w:szCs w:val="16"/>
              </w:rPr>
            </w:pPr>
          </w:p>
        </w:tc>
      </w:tr>
      <w:tr w:rsidR="006D7DCA" w:rsidRPr="006D7DCA" w14:paraId="10A825DD" w14:textId="77777777" w:rsidTr="00DE401D">
        <w:trPr>
          <w:trHeight w:val="520"/>
          <w:jc w:val="center"/>
        </w:trPr>
        <w:tc>
          <w:tcPr>
            <w:tcW w:w="667" w:type="pct"/>
            <w:tcBorders>
              <w:top w:val="single" w:sz="4" w:space="0" w:color="auto"/>
              <w:left w:val="nil"/>
              <w:bottom w:val="single" w:sz="4" w:space="0" w:color="auto"/>
              <w:right w:val="nil"/>
            </w:tcBorders>
            <w:vAlign w:val="center"/>
          </w:tcPr>
          <w:p w14:paraId="6C254D33" w14:textId="77777777" w:rsidR="001A3829" w:rsidRPr="006D7DCA" w:rsidRDefault="001A3829" w:rsidP="00171BC2">
            <w:pPr>
              <w:spacing w:after="0" w:line="256" w:lineRule="auto"/>
              <w:jc w:val="center"/>
              <w:rPr>
                <w:rFonts w:ascii="Times New Roman" w:eastAsia="Calibri" w:hAnsi="Times New Roman" w:cs="Times New Roman"/>
                <w:sz w:val="16"/>
                <w:szCs w:val="16"/>
              </w:rPr>
            </w:pPr>
          </w:p>
        </w:tc>
        <w:tc>
          <w:tcPr>
            <w:tcW w:w="345" w:type="pct"/>
            <w:tcBorders>
              <w:top w:val="single" w:sz="4" w:space="0" w:color="auto"/>
              <w:left w:val="nil"/>
              <w:bottom w:val="single" w:sz="4" w:space="0" w:color="auto"/>
              <w:right w:val="nil"/>
            </w:tcBorders>
            <w:vAlign w:val="center"/>
          </w:tcPr>
          <w:p w14:paraId="6E0F878C" w14:textId="77777777" w:rsidR="001A3829" w:rsidRPr="006D7DCA" w:rsidRDefault="001A3829" w:rsidP="00171BC2">
            <w:pPr>
              <w:spacing w:after="0" w:line="256" w:lineRule="auto"/>
              <w:jc w:val="center"/>
              <w:rPr>
                <w:rFonts w:ascii="Times New Roman" w:eastAsia="Calibri" w:hAnsi="Times New Roman" w:cs="Times New Roman"/>
                <w:sz w:val="16"/>
                <w:szCs w:val="16"/>
              </w:rPr>
            </w:pPr>
          </w:p>
        </w:tc>
        <w:tc>
          <w:tcPr>
            <w:tcW w:w="376" w:type="pct"/>
            <w:tcBorders>
              <w:top w:val="single" w:sz="4" w:space="0" w:color="auto"/>
              <w:left w:val="nil"/>
              <w:bottom w:val="single" w:sz="4" w:space="0" w:color="auto"/>
              <w:right w:val="nil"/>
            </w:tcBorders>
            <w:vAlign w:val="center"/>
          </w:tcPr>
          <w:p w14:paraId="64D006F5" w14:textId="224E87D7" w:rsidR="001A3829"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N=1507</w:t>
            </w:r>
          </w:p>
        </w:tc>
        <w:tc>
          <w:tcPr>
            <w:tcW w:w="486" w:type="pct"/>
            <w:tcBorders>
              <w:top w:val="single" w:sz="4" w:space="0" w:color="auto"/>
              <w:left w:val="nil"/>
              <w:bottom w:val="single" w:sz="4" w:space="0" w:color="auto"/>
              <w:right w:val="nil"/>
            </w:tcBorders>
            <w:vAlign w:val="center"/>
          </w:tcPr>
          <w:p w14:paraId="1BA7E403" w14:textId="3DDE58E6" w:rsidR="001A3829"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N=488</w:t>
            </w:r>
          </w:p>
        </w:tc>
        <w:tc>
          <w:tcPr>
            <w:tcW w:w="467" w:type="pct"/>
            <w:tcBorders>
              <w:top w:val="single" w:sz="4" w:space="0" w:color="auto"/>
              <w:left w:val="nil"/>
              <w:bottom w:val="single" w:sz="4" w:space="0" w:color="auto"/>
              <w:right w:val="single" w:sz="4" w:space="0" w:color="auto"/>
            </w:tcBorders>
            <w:vAlign w:val="center"/>
          </w:tcPr>
          <w:p w14:paraId="12E2F5FF" w14:textId="17A0C7F4" w:rsidR="001A3829"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N=209</w:t>
            </w:r>
          </w:p>
        </w:tc>
        <w:tc>
          <w:tcPr>
            <w:tcW w:w="376" w:type="pct"/>
            <w:tcBorders>
              <w:top w:val="single" w:sz="4" w:space="0" w:color="auto"/>
              <w:left w:val="single" w:sz="4" w:space="0" w:color="auto"/>
              <w:bottom w:val="single" w:sz="4" w:space="0" w:color="auto"/>
              <w:right w:val="nil"/>
            </w:tcBorders>
            <w:vAlign w:val="center"/>
          </w:tcPr>
          <w:p w14:paraId="2804063D" w14:textId="4F72F204" w:rsidR="001A3829"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N=1492</w:t>
            </w:r>
          </w:p>
        </w:tc>
        <w:tc>
          <w:tcPr>
            <w:tcW w:w="487" w:type="pct"/>
            <w:tcBorders>
              <w:top w:val="single" w:sz="4" w:space="0" w:color="auto"/>
              <w:left w:val="nil"/>
              <w:bottom w:val="single" w:sz="4" w:space="0" w:color="auto"/>
              <w:right w:val="nil"/>
            </w:tcBorders>
            <w:vAlign w:val="center"/>
          </w:tcPr>
          <w:p w14:paraId="3D701A64" w14:textId="52DD6C6A" w:rsidR="001A3829"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N=456</w:t>
            </w:r>
          </w:p>
        </w:tc>
        <w:tc>
          <w:tcPr>
            <w:tcW w:w="467" w:type="pct"/>
            <w:tcBorders>
              <w:top w:val="single" w:sz="4" w:space="0" w:color="auto"/>
              <w:left w:val="nil"/>
              <w:bottom w:val="single" w:sz="4" w:space="0" w:color="auto"/>
              <w:right w:val="single" w:sz="4" w:space="0" w:color="auto"/>
            </w:tcBorders>
            <w:vAlign w:val="center"/>
          </w:tcPr>
          <w:p w14:paraId="10B14C11" w14:textId="27FBB9D4" w:rsidR="001A3829"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N=256</w:t>
            </w:r>
          </w:p>
        </w:tc>
        <w:tc>
          <w:tcPr>
            <w:tcW w:w="376" w:type="pct"/>
            <w:tcBorders>
              <w:top w:val="single" w:sz="4" w:space="0" w:color="auto"/>
              <w:left w:val="single" w:sz="4" w:space="0" w:color="auto"/>
              <w:bottom w:val="single" w:sz="4" w:space="0" w:color="auto"/>
              <w:right w:val="nil"/>
            </w:tcBorders>
            <w:vAlign w:val="center"/>
          </w:tcPr>
          <w:p w14:paraId="7CBFE491" w14:textId="17D74B1E" w:rsidR="001A3829"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N=1604</w:t>
            </w:r>
          </w:p>
        </w:tc>
        <w:tc>
          <w:tcPr>
            <w:tcW w:w="487" w:type="pct"/>
            <w:tcBorders>
              <w:top w:val="single" w:sz="4" w:space="0" w:color="auto"/>
              <w:left w:val="nil"/>
              <w:bottom w:val="single" w:sz="4" w:space="0" w:color="auto"/>
              <w:right w:val="nil"/>
            </w:tcBorders>
            <w:vAlign w:val="center"/>
          </w:tcPr>
          <w:p w14:paraId="68B077F3" w14:textId="28728595" w:rsidR="001A3829"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N=438</w:t>
            </w:r>
          </w:p>
        </w:tc>
        <w:tc>
          <w:tcPr>
            <w:tcW w:w="466" w:type="pct"/>
            <w:tcBorders>
              <w:top w:val="single" w:sz="4" w:space="0" w:color="auto"/>
              <w:left w:val="nil"/>
              <w:bottom w:val="single" w:sz="4" w:space="0" w:color="auto"/>
              <w:right w:val="nil"/>
            </w:tcBorders>
            <w:vAlign w:val="center"/>
          </w:tcPr>
          <w:p w14:paraId="54F6870F" w14:textId="70F1A949" w:rsidR="001A3829"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N=162</w:t>
            </w:r>
          </w:p>
        </w:tc>
      </w:tr>
      <w:tr w:rsidR="006D7DCA" w:rsidRPr="006D7DCA" w14:paraId="3DD146BE" w14:textId="77777777" w:rsidTr="00DE401D">
        <w:trPr>
          <w:trHeight w:hRule="exact" w:val="340"/>
          <w:jc w:val="center"/>
        </w:trPr>
        <w:tc>
          <w:tcPr>
            <w:tcW w:w="667" w:type="pct"/>
            <w:vMerge w:val="restart"/>
            <w:tcBorders>
              <w:top w:val="single" w:sz="4" w:space="0" w:color="auto"/>
              <w:left w:val="nil"/>
              <w:bottom w:val="single" w:sz="4" w:space="0" w:color="auto"/>
              <w:right w:val="nil"/>
            </w:tcBorders>
            <w:vAlign w:val="center"/>
            <w:hideMark/>
          </w:tcPr>
          <w:p w14:paraId="69FB700D" w14:textId="77777777" w:rsidR="00171BC2" w:rsidRPr="006D7DCA" w:rsidRDefault="00171BC2" w:rsidP="00171BC2">
            <w:pPr>
              <w:spacing w:after="0" w:line="256" w:lineRule="auto"/>
              <w:rPr>
                <w:rFonts w:ascii="Times New Roman" w:eastAsia="Calibri" w:hAnsi="Times New Roman" w:cs="Times New Roman"/>
                <w:sz w:val="16"/>
                <w:szCs w:val="16"/>
              </w:rPr>
            </w:pPr>
            <w:proofErr w:type="spellStart"/>
            <w:r w:rsidRPr="006D7DCA">
              <w:rPr>
                <w:rFonts w:ascii="Times New Roman" w:eastAsia="Calibri" w:hAnsi="Times New Roman" w:cs="Times New Roman"/>
                <w:sz w:val="16"/>
                <w:szCs w:val="16"/>
              </w:rPr>
              <w:t>Engagement</w:t>
            </w:r>
            <w:proofErr w:type="spellEnd"/>
            <w:r w:rsidRPr="006D7DCA">
              <w:rPr>
                <w:rFonts w:ascii="Times New Roman" w:eastAsia="Calibri" w:hAnsi="Times New Roman" w:cs="Times New Roman"/>
                <w:sz w:val="16"/>
                <w:szCs w:val="16"/>
              </w:rPr>
              <w:t>. Vigor</w:t>
            </w:r>
          </w:p>
        </w:tc>
        <w:tc>
          <w:tcPr>
            <w:tcW w:w="345" w:type="pct"/>
            <w:tcBorders>
              <w:top w:val="single" w:sz="4" w:space="0" w:color="auto"/>
              <w:left w:val="nil"/>
              <w:bottom w:val="nil"/>
              <w:right w:val="nil"/>
            </w:tcBorders>
            <w:vAlign w:val="center"/>
            <w:hideMark/>
          </w:tcPr>
          <w:p w14:paraId="6E069DE7"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0EE4987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10.30</w:t>
            </w:r>
          </w:p>
        </w:tc>
        <w:tc>
          <w:tcPr>
            <w:tcW w:w="486" w:type="pct"/>
            <w:tcBorders>
              <w:top w:val="single" w:sz="4" w:space="0" w:color="auto"/>
              <w:left w:val="nil"/>
              <w:bottom w:val="nil"/>
              <w:right w:val="nil"/>
            </w:tcBorders>
            <w:vAlign w:val="center"/>
            <w:hideMark/>
          </w:tcPr>
          <w:p w14:paraId="72B8BB5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8.44</w:t>
            </w:r>
          </w:p>
        </w:tc>
        <w:tc>
          <w:tcPr>
            <w:tcW w:w="467" w:type="pct"/>
            <w:tcBorders>
              <w:top w:val="single" w:sz="4" w:space="0" w:color="auto"/>
              <w:left w:val="nil"/>
              <w:bottom w:val="nil"/>
              <w:right w:val="single" w:sz="4" w:space="0" w:color="auto"/>
            </w:tcBorders>
            <w:vAlign w:val="center"/>
            <w:hideMark/>
          </w:tcPr>
          <w:p w14:paraId="33F8748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7.70</w:t>
            </w:r>
          </w:p>
        </w:tc>
        <w:tc>
          <w:tcPr>
            <w:tcW w:w="376" w:type="pct"/>
            <w:tcBorders>
              <w:top w:val="single" w:sz="4" w:space="0" w:color="auto"/>
              <w:left w:val="single" w:sz="4" w:space="0" w:color="auto"/>
              <w:bottom w:val="nil"/>
              <w:right w:val="nil"/>
            </w:tcBorders>
            <w:vAlign w:val="center"/>
            <w:hideMark/>
          </w:tcPr>
          <w:p w14:paraId="5D9AB98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10.12</w:t>
            </w:r>
          </w:p>
        </w:tc>
        <w:tc>
          <w:tcPr>
            <w:tcW w:w="487" w:type="pct"/>
            <w:tcBorders>
              <w:top w:val="single" w:sz="4" w:space="0" w:color="auto"/>
              <w:left w:val="nil"/>
              <w:bottom w:val="nil"/>
              <w:right w:val="nil"/>
            </w:tcBorders>
            <w:vAlign w:val="center"/>
            <w:hideMark/>
          </w:tcPr>
          <w:p w14:paraId="13CB63A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8.69</w:t>
            </w:r>
          </w:p>
        </w:tc>
        <w:tc>
          <w:tcPr>
            <w:tcW w:w="467" w:type="pct"/>
            <w:tcBorders>
              <w:top w:val="single" w:sz="4" w:space="0" w:color="auto"/>
              <w:left w:val="nil"/>
              <w:bottom w:val="nil"/>
              <w:right w:val="single" w:sz="4" w:space="0" w:color="auto"/>
            </w:tcBorders>
            <w:vAlign w:val="center"/>
            <w:hideMark/>
          </w:tcPr>
          <w:p w14:paraId="7CB9E23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8.50</w:t>
            </w:r>
          </w:p>
        </w:tc>
        <w:tc>
          <w:tcPr>
            <w:tcW w:w="376" w:type="pct"/>
            <w:tcBorders>
              <w:top w:val="single" w:sz="4" w:space="0" w:color="auto"/>
              <w:left w:val="single" w:sz="4" w:space="0" w:color="auto"/>
              <w:bottom w:val="nil"/>
              <w:right w:val="nil"/>
            </w:tcBorders>
            <w:vAlign w:val="center"/>
            <w:hideMark/>
          </w:tcPr>
          <w:p w14:paraId="02274F5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10.16</w:t>
            </w:r>
          </w:p>
        </w:tc>
        <w:tc>
          <w:tcPr>
            <w:tcW w:w="487" w:type="pct"/>
            <w:tcBorders>
              <w:top w:val="single" w:sz="4" w:space="0" w:color="auto"/>
              <w:left w:val="nil"/>
              <w:bottom w:val="nil"/>
              <w:right w:val="nil"/>
            </w:tcBorders>
            <w:vAlign w:val="center"/>
            <w:hideMark/>
          </w:tcPr>
          <w:p w14:paraId="391A7DE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8.46</w:t>
            </w:r>
          </w:p>
        </w:tc>
        <w:tc>
          <w:tcPr>
            <w:tcW w:w="466" w:type="pct"/>
            <w:tcBorders>
              <w:top w:val="single" w:sz="4" w:space="0" w:color="auto"/>
              <w:left w:val="nil"/>
              <w:bottom w:val="nil"/>
              <w:right w:val="nil"/>
            </w:tcBorders>
            <w:vAlign w:val="center"/>
            <w:hideMark/>
          </w:tcPr>
          <w:p w14:paraId="485D494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7.66</w:t>
            </w:r>
          </w:p>
        </w:tc>
      </w:tr>
      <w:tr w:rsidR="006D7DCA" w:rsidRPr="006D7DCA" w14:paraId="3AC68589"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2093BCF8"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nil"/>
              <w:left w:val="nil"/>
              <w:bottom w:val="single" w:sz="4" w:space="0" w:color="auto"/>
              <w:right w:val="nil"/>
            </w:tcBorders>
            <w:vAlign w:val="center"/>
            <w:hideMark/>
          </w:tcPr>
          <w:p w14:paraId="5EC536AE"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4ECFA11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4.57</w:t>
            </w:r>
          </w:p>
        </w:tc>
        <w:tc>
          <w:tcPr>
            <w:tcW w:w="486" w:type="pct"/>
            <w:tcBorders>
              <w:top w:val="nil"/>
              <w:left w:val="nil"/>
              <w:bottom w:val="single" w:sz="4" w:space="0" w:color="auto"/>
              <w:right w:val="nil"/>
            </w:tcBorders>
            <w:vAlign w:val="center"/>
            <w:hideMark/>
          </w:tcPr>
          <w:p w14:paraId="0E635D6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4.22</w:t>
            </w:r>
          </w:p>
        </w:tc>
        <w:tc>
          <w:tcPr>
            <w:tcW w:w="467" w:type="pct"/>
            <w:tcBorders>
              <w:top w:val="nil"/>
              <w:left w:val="nil"/>
              <w:bottom w:val="single" w:sz="4" w:space="0" w:color="auto"/>
              <w:right w:val="single" w:sz="4" w:space="0" w:color="auto"/>
            </w:tcBorders>
            <w:vAlign w:val="center"/>
            <w:hideMark/>
          </w:tcPr>
          <w:p w14:paraId="1501EEF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4.79</w:t>
            </w:r>
          </w:p>
        </w:tc>
        <w:tc>
          <w:tcPr>
            <w:tcW w:w="376" w:type="pct"/>
            <w:tcBorders>
              <w:top w:val="nil"/>
              <w:left w:val="single" w:sz="4" w:space="0" w:color="auto"/>
              <w:bottom w:val="single" w:sz="4" w:space="0" w:color="auto"/>
              <w:right w:val="nil"/>
            </w:tcBorders>
            <w:vAlign w:val="center"/>
            <w:hideMark/>
          </w:tcPr>
          <w:p w14:paraId="0638367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4.59</w:t>
            </w:r>
          </w:p>
        </w:tc>
        <w:tc>
          <w:tcPr>
            <w:tcW w:w="487" w:type="pct"/>
            <w:tcBorders>
              <w:top w:val="nil"/>
              <w:left w:val="nil"/>
              <w:bottom w:val="single" w:sz="4" w:space="0" w:color="auto"/>
              <w:right w:val="nil"/>
            </w:tcBorders>
            <w:vAlign w:val="center"/>
            <w:hideMark/>
          </w:tcPr>
          <w:p w14:paraId="358E65C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4.60</w:t>
            </w:r>
          </w:p>
        </w:tc>
        <w:tc>
          <w:tcPr>
            <w:tcW w:w="467" w:type="pct"/>
            <w:tcBorders>
              <w:top w:val="nil"/>
              <w:left w:val="nil"/>
              <w:bottom w:val="single" w:sz="4" w:space="0" w:color="auto"/>
              <w:right w:val="single" w:sz="4" w:space="0" w:color="auto"/>
            </w:tcBorders>
            <w:vAlign w:val="center"/>
            <w:hideMark/>
          </w:tcPr>
          <w:p w14:paraId="32E4128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4.37</w:t>
            </w:r>
          </w:p>
        </w:tc>
        <w:tc>
          <w:tcPr>
            <w:tcW w:w="376" w:type="pct"/>
            <w:tcBorders>
              <w:top w:val="nil"/>
              <w:left w:val="single" w:sz="4" w:space="0" w:color="auto"/>
              <w:bottom w:val="single" w:sz="4" w:space="0" w:color="auto"/>
              <w:right w:val="nil"/>
            </w:tcBorders>
            <w:vAlign w:val="center"/>
            <w:hideMark/>
          </w:tcPr>
          <w:p w14:paraId="72A7D9E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4.61</w:t>
            </w:r>
          </w:p>
        </w:tc>
        <w:tc>
          <w:tcPr>
            <w:tcW w:w="487" w:type="pct"/>
            <w:tcBorders>
              <w:top w:val="nil"/>
              <w:left w:val="nil"/>
              <w:bottom w:val="single" w:sz="4" w:space="0" w:color="auto"/>
              <w:right w:val="nil"/>
            </w:tcBorders>
            <w:vAlign w:val="center"/>
            <w:hideMark/>
          </w:tcPr>
          <w:p w14:paraId="2C602FD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4.28</w:t>
            </w:r>
          </w:p>
        </w:tc>
        <w:tc>
          <w:tcPr>
            <w:tcW w:w="466" w:type="pct"/>
            <w:tcBorders>
              <w:top w:val="nil"/>
              <w:left w:val="nil"/>
              <w:bottom w:val="single" w:sz="4" w:space="0" w:color="auto"/>
              <w:right w:val="nil"/>
            </w:tcBorders>
            <w:vAlign w:val="center"/>
            <w:hideMark/>
          </w:tcPr>
          <w:p w14:paraId="0119185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4.59</w:t>
            </w:r>
          </w:p>
        </w:tc>
      </w:tr>
      <w:tr w:rsidR="006D7DCA" w:rsidRPr="006D7DCA" w14:paraId="6FA0E127"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6CFDB5C1"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single" w:sz="4" w:space="0" w:color="auto"/>
              <w:left w:val="nil"/>
              <w:bottom w:val="single" w:sz="4" w:space="0" w:color="auto"/>
              <w:right w:val="nil"/>
            </w:tcBorders>
            <w:vAlign w:val="center"/>
            <w:hideMark/>
          </w:tcPr>
          <w:p w14:paraId="5C32A260" w14:textId="296D4C98" w:rsidR="00171BC2" w:rsidRPr="006D7DCA" w:rsidRDefault="00DE401D" w:rsidP="00171BC2">
            <w:pPr>
              <w:spacing w:after="0" w:line="256" w:lineRule="auto"/>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29" w:type="pct"/>
            <w:gridSpan w:val="3"/>
            <w:tcBorders>
              <w:top w:val="single" w:sz="4" w:space="0" w:color="auto"/>
              <w:left w:val="nil"/>
              <w:bottom w:val="single" w:sz="4" w:space="0" w:color="auto"/>
              <w:right w:val="single" w:sz="4" w:space="0" w:color="auto"/>
            </w:tcBorders>
            <w:vAlign w:val="center"/>
            <w:hideMark/>
          </w:tcPr>
          <w:p w14:paraId="1D8C210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31" w:type="pct"/>
            <w:gridSpan w:val="3"/>
            <w:tcBorders>
              <w:top w:val="single" w:sz="4" w:space="0" w:color="auto"/>
              <w:left w:val="single" w:sz="4" w:space="0" w:color="auto"/>
              <w:bottom w:val="single" w:sz="4" w:space="0" w:color="auto"/>
              <w:right w:val="single" w:sz="4" w:space="0" w:color="auto"/>
            </w:tcBorders>
            <w:vAlign w:val="center"/>
            <w:hideMark/>
          </w:tcPr>
          <w:p w14:paraId="23DCEA4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29" w:type="pct"/>
            <w:gridSpan w:val="3"/>
            <w:tcBorders>
              <w:top w:val="single" w:sz="4" w:space="0" w:color="auto"/>
              <w:left w:val="single" w:sz="4" w:space="0" w:color="auto"/>
              <w:bottom w:val="single" w:sz="4" w:space="0" w:color="auto"/>
              <w:right w:val="nil"/>
            </w:tcBorders>
            <w:vAlign w:val="center"/>
            <w:hideMark/>
          </w:tcPr>
          <w:p w14:paraId="6D15927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0C91E54A" w14:textId="77777777" w:rsidTr="00DE401D">
        <w:trPr>
          <w:trHeight w:hRule="exact" w:val="340"/>
          <w:jc w:val="center"/>
        </w:trPr>
        <w:tc>
          <w:tcPr>
            <w:tcW w:w="667" w:type="pct"/>
            <w:vMerge w:val="restart"/>
            <w:tcBorders>
              <w:top w:val="single" w:sz="4" w:space="0" w:color="auto"/>
              <w:left w:val="nil"/>
              <w:bottom w:val="single" w:sz="4" w:space="0" w:color="auto"/>
              <w:right w:val="nil"/>
            </w:tcBorders>
            <w:vAlign w:val="center"/>
            <w:hideMark/>
          </w:tcPr>
          <w:p w14:paraId="09EA942D" w14:textId="77777777" w:rsidR="00171BC2" w:rsidRPr="006D7DCA" w:rsidRDefault="00171BC2" w:rsidP="00171BC2">
            <w:pPr>
              <w:spacing w:after="0" w:line="256" w:lineRule="auto"/>
              <w:rPr>
                <w:rFonts w:ascii="Times New Roman" w:eastAsia="Calibri" w:hAnsi="Times New Roman" w:cs="Times New Roman"/>
                <w:sz w:val="16"/>
                <w:szCs w:val="16"/>
              </w:rPr>
            </w:pPr>
            <w:proofErr w:type="spellStart"/>
            <w:r w:rsidRPr="006D7DCA">
              <w:rPr>
                <w:rFonts w:ascii="Times New Roman" w:eastAsia="Calibri" w:hAnsi="Times New Roman" w:cs="Times New Roman"/>
                <w:sz w:val="16"/>
                <w:szCs w:val="16"/>
              </w:rPr>
              <w:t>Engagement</w:t>
            </w:r>
            <w:proofErr w:type="spellEnd"/>
            <w:r w:rsidRPr="006D7DCA">
              <w:rPr>
                <w:rFonts w:ascii="Times New Roman" w:eastAsia="Calibri" w:hAnsi="Times New Roman" w:cs="Times New Roman"/>
                <w:sz w:val="16"/>
                <w:szCs w:val="16"/>
              </w:rPr>
              <w:t>. Dedicación</w:t>
            </w:r>
          </w:p>
        </w:tc>
        <w:tc>
          <w:tcPr>
            <w:tcW w:w="345" w:type="pct"/>
            <w:tcBorders>
              <w:top w:val="single" w:sz="4" w:space="0" w:color="auto"/>
              <w:left w:val="nil"/>
              <w:bottom w:val="nil"/>
              <w:right w:val="nil"/>
            </w:tcBorders>
            <w:vAlign w:val="center"/>
            <w:hideMark/>
          </w:tcPr>
          <w:p w14:paraId="07433155"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37C8391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14.22</w:t>
            </w:r>
          </w:p>
        </w:tc>
        <w:tc>
          <w:tcPr>
            <w:tcW w:w="486" w:type="pct"/>
            <w:tcBorders>
              <w:top w:val="single" w:sz="4" w:space="0" w:color="auto"/>
              <w:left w:val="nil"/>
              <w:bottom w:val="nil"/>
              <w:right w:val="nil"/>
            </w:tcBorders>
            <w:vAlign w:val="center"/>
            <w:hideMark/>
          </w:tcPr>
          <w:p w14:paraId="1742C51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13.69</w:t>
            </w:r>
          </w:p>
        </w:tc>
        <w:tc>
          <w:tcPr>
            <w:tcW w:w="467" w:type="pct"/>
            <w:tcBorders>
              <w:top w:val="single" w:sz="4" w:space="0" w:color="auto"/>
              <w:left w:val="nil"/>
              <w:bottom w:val="nil"/>
              <w:right w:val="single" w:sz="4" w:space="0" w:color="auto"/>
            </w:tcBorders>
            <w:vAlign w:val="center"/>
            <w:hideMark/>
          </w:tcPr>
          <w:p w14:paraId="7790548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12.76</w:t>
            </w:r>
          </w:p>
        </w:tc>
        <w:tc>
          <w:tcPr>
            <w:tcW w:w="376" w:type="pct"/>
            <w:tcBorders>
              <w:top w:val="single" w:sz="4" w:space="0" w:color="auto"/>
              <w:left w:val="single" w:sz="4" w:space="0" w:color="auto"/>
              <w:bottom w:val="nil"/>
              <w:right w:val="nil"/>
            </w:tcBorders>
            <w:vAlign w:val="center"/>
            <w:hideMark/>
          </w:tcPr>
          <w:p w14:paraId="7708AAD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14.24</w:t>
            </w:r>
          </w:p>
        </w:tc>
        <w:tc>
          <w:tcPr>
            <w:tcW w:w="487" w:type="pct"/>
            <w:tcBorders>
              <w:top w:val="single" w:sz="4" w:space="0" w:color="auto"/>
              <w:left w:val="nil"/>
              <w:bottom w:val="nil"/>
              <w:right w:val="nil"/>
            </w:tcBorders>
            <w:vAlign w:val="center"/>
            <w:hideMark/>
          </w:tcPr>
          <w:p w14:paraId="228E0F0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13.36</w:t>
            </w:r>
          </w:p>
        </w:tc>
        <w:tc>
          <w:tcPr>
            <w:tcW w:w="467" w:type="pct"/>
            <w:tcBorders>
              <w:top w:val="single" w:sz="4" w:space="0" w:color="auto"/>
              <w:left w:val="nil"/>
              <w:bottom w:val="nil"/>
              <w:right w:val="single" w:sz="4" w:space="0" w:color="auto"/>
            </w:tcBorders>
            <w:vAlign w:val="center"/>
            <w:hideMark/>
          </w:tcPr>
          <w:p w14:paraId="3EE39088"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13.41</w:t>
            </w:r>
          </w:p>
        </w:tc>
        <w:tc>
          <w:tcPr>
            <w:tcW w:w="376" w:type="pct"/>
            <w:tcBorders>
              <w:top w:val="single" w:sz="4" w:space="0" w:color="auto"/>
              <w:left w:val="single" w:sz="4" w:space="0" w:color="auto"/>
              <w:bottom w:val="nil"/>
              <w:right w:val="nil"/>
            </w:tcBorders>
            <w:vAlign w:val="center"/>
            <w:hideMark/>
          </w:tcPr>
          <w:p w14:paraId="3B2C771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14.44</w:t>
            </w:r>
          </w:p>
        </w:tc>
        <w:tc>
          <w:tcPr>
            <w:tcW w:w="487" w:type="pct"/>
            <w:tcBorders>
              <w:top w:val="single" w:sz="4" w:space="0" w:color="auto"/>
              <w:left w:val="nil"/>
              <w:bottom w:val="nil"/>
              <w:right w:val="nil"/>
            </w:tcBorders>
            <w:vAlign w:val="center"/>
            <w:hideMark/>
          </w:tcPr>
          <w:p w14:paraId="33E1845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13.05</w:t>
            </w:r>
          </w:p>
        </w:tc>
        <w:tc>
          <w:tcPr>
            <w:tcW w:w="466" w:type="pct"/>
            <w:tcBorders>
              <w:top w:val="single" w:sz="4" w:space="0" w:color="auto"/>
              <w:left w:val="nil"/>
              <w:bottom w:val="nil"/>
              <w:right w:val="nil"/>
            </w:tcBorders>
            <w:vAlign w:val="center"/>
            <w:hideMark/>
          </w:tcPr>
          <w:p w14:paraId="6D9F1FB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11.77</w:t>
            </w:r>
          </w:p>
        </w:tc>
      </w:tr>
      <w:tr w:rsidR="006D7DCA" w:rsidRPr="006D7DCA" w14:paraId="5CDEF5E1"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541607F2"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nil"/>
              <w:left w:val="nil"/>
              <w:bottom w:val="single" w:sz="4" w:space="0" w:color="auto"/>
              <w:right w:val="nil"/>
            </w:tcBorders>
            <w:vAlign w:val="center"/>
            <w:hideMark/>
          </w:tcPr>
          <w:p w14:paraId="6C3BB45D"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498351B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4.21</w:t>
            </w:r>
          </w:p>
        </w:tc>
        <w:tc>
          <w:tcPr>
            <w:tcW w:w="486" w:type="pct"/>
            <w:tcBorders>
              <w:top w:val="nil"/>
              <w:left w:val="nil"/>
              <w:bottom w:val="single" w:sz="4" w:space="0" w:color="auto"/>
              <w:right w:val="nil"/>
            </w:tcBorders>
            <w:vAlign w:val="center"/>
            <w:hideMark/>
          </w:tcPr>
          <w:p w14:paraId="4DE3A68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4.43</w:t>
            </w:r>
          </w:p>
        </w:tc>
        <w:tc>
          <w:tcPr>
            <w:tcW w:w="467" w:type="pct"/>
            <w:tcBorders>
              <w:top w:val="nil"/>
              <w:left w:val="nil"/>
              <w:bottom w:val="single" w:sz="4" w:space="0" w:color="auto"/>
              <w:right w:val="single" w:sz="4" w:space="0" w:color="auto"/>
            </w:tcBorders>
            <w:vAlign w:val="center"/>
            <w:hideMark/>
          </w:tcPr>
          <w:p w14:paraId="3178BEA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5.29</w:t>
            </w:r>
          </w:p>
        </w:tc>
        <w:tc>
          <w:tcPr>
            <w:tcW w:w="376" w:type="pct"/>
            <w:tcBorders>
              <w:top w:val="nil"/>
              <w:left w:val="single" w:sz="4" w:space="0" w:color="auto"/>
              <w:bottom w:val="single" w:sz="4" w:space="0" w:color="auto"/>
              <w:right w:val="nil"/>
            </w:tcBorders>
            <w:vAlign w:val="center"/>
            <w:hideMark/>
          </w:tcPr>
          <w:p w14:paraId="00378B5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4.22</w:t>
            </w:r>
          </w:p>
        </w:tc>
        <w:tc>
          <w:tcPr>
            <w:tcW w:w="487" w:type="pct"/>
            <w:tcBorders>
              <w:top w:val="nil"/>
              <w:left w:val="nil"/>
              <w:bottom w:val="single" w:sz="4" w:space="0" w:color="auto"/>
              <w:right w:val="nil"/>
            </w:tcBorders>
            <w:vAlign w:val="center"/>
            <w:hideMark/>
          </w:tcPr>
          <w:p w14:paraId="6DE9BE6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4.59</w:t>
            </w:r>
          </w:p>
        </w:tc>
        <w:tc>
          <w:tcPr>
            <w:tcW w:w="467" w:type="pct"/>
            <w:tcBorders>
              <w:top w:val="nil"/>
              <w:left w:val="nil"/>
              <w:bottom w:val="single" w:sz="4" w:space="0" w:color="auto"/>
              <w:right w:val="single" w:sz="4" w:space="0" w:color="auto"/>
            </w:tcBorders>
            <w:vAlign w:val="center"/>
            <w:hideMark/>
          </w:tcPr>
          <w:p w14:paraId="3B398268"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4.87</w:t>
            </w:r>
          </w:p>
        </w:tc>
        <w:tc>
          <w:tcPr>
            <w:tcW w:w="376" w:type="pct"/>
            <w:tcBorders>
              <w:top w:val="nil"/>
              <w:left w:val="single" w:sz="4" w:space="0" w:color="auto"/>
              <w:bottom w:val="single" w:sz="4" w:space="0" w:color="auto"/>
              <w:right w:val="nil"/>
            </w:tcBorders>
            <w:vAlign w:val="center"/>
            <w:hideMark/>
          </w:tcPr>
          <w:p w14:paraId="284C98B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4.10</w:t>
            </w:r>
          </w:p>
        </w:tc>
        <w:tc>
          <w:tcPr>
            <w:tcW w:w="487" w:type="pct"/>
            <w:tcBorders>
              <w:top w:val="nil"/>
              <w:left w:val="nil"/>
              <w:bottom w:val="single" w:sz="4" w:space="0" w:color="auto"/>
              <w:right w:val="nil"/>
            </w:tcBorders>
            <w:vAlign w:val="center"/>
            <w:hideMark/>
          </w:tcPr>
          <w:p w14:paraId="1D8A67A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4.57</w:t>
            </w:r>
          </w:p>
        </w:tc>
        <w:tc>
          <w:tcPr>
            <w:tcW w:w="466" w:type="pct"/>
            <w:tcBorders>
              <w:top w:val="nil"/>
              <w:left w:val="nil"/>
              <w:bottom w:val="single" w:sz="4" w:space="0" w:color="auto"/>
              <w:right w:val="nil"/>
            </w:tcBorders>
            <w:vAlign w:val="center"/>
            <w:hideMark/>
          </w:tcPr>
          <w:p w14:paraId="61B7A26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5.51</w:t>
            </w:r>
          </w:p>
        </w:tc>
      </w:tr>
      <w:tr w:rsidR="006D7DCA" w:rsidRPr="006D7DCA" w14:paraId="204E0BDF"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708BA11C"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single" w:sz="4" w:space="0" w:color="auto"/>
              <w:left w:val="nil"/>
              <w:bottom w:val="single" w:sz="4" w:space="0" w:color="auto"/>
              <w:right w:val="nil"/>
            </w:tcBorders>
            <w:vAlign w:val="center"/>
            <w:hideMark/>
          </w:tcPr>
          <w:p w14:paraId="37B0B059" w14:textId="5C3A4E3D" w:rsidR="00171BC2" w:rsidRPr="006D7DCA" w:rsidRDefault="00DE401D"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P valor</w:t>
            </w:r>
          </w:p>
        </w:tc>
        <w:tc>
          <w:tcPr>
            <w:tcW w:w="1329" w:type="pct"/>
            <w:gridSpan w:val="3"/>
            <w:tcBorders>
              <w:top w:val="single" w:sz="4" w:space="0" w:color="auto"/>
              <w:left w:val="nil"/>
              <w:bottom w:val="single" w:sz="4" w:space="0" w:color="auto"/>
              <w:right w:val="single" w:sz="4" w:space="0" w:color="auto"/>
            </w:tcBorders>
            <w:vAlign w:val="center"/>
            <w:hideMark/>
          </w:tcPr>
          <w:p w14:paraId="106A25D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0.001</w:t>
            </w:r>
          </w:p>
        </w:tc>
        <w:tc>
          <w:tcPr>
            <w:tcW w:w="1331" w:type="pct"/>
            <w:gridSpan w:val="3"/>
            <w:tcBorders>
              <w:top w:val="single" w:sz="4" w:space="0" w:color="auto"/>
              <w:left w:val="single" w:sz="4" w:space="0" w:color="auto"/>
              <w:bottom w:val="single" w:sz="4" w:space="0" w:color="auto"/>
              <w:right w:val="single" w:sz="4" w:space="0" w:color="auto"/>
            </w:tcBorders>
            <w:vAlign w:val="center"/>
            <w:hideMark/>
          </w:tcPr>
          <w:p w14:paraId="533B7FD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0.001</w:t>
            </w:r>
          </w:p>
        </w:tc>
        <w:tc>
          <w:tcPr>
            <w:tcW w:w="1329" w:type="pct"/>
            <w:gridSpan w:val="3"/>
            <w:tcBorders>
              <w:top w:val="single" w:sz="4" w:space="0" w:color="auto"/>
              <w:left w:val="single" w:sz="4" w:space="0" w:color="auto"/>
              <w:bottom w:val="single" w:sz="4" w:space="0" w:color="auto"/>
              <w:right w:val="nil"/>
            </w:tcBorders>
            <w:vAlign w:val="center"/>
            <w:hideMark/>
          </w:tcPr>
          <w:p w14:paraId="2CA3BB1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3E59E0F8" w14:textId="77777777" w:rsidTr="00DE401D">
        <w:trPr>
          <w:trHeight w:hRule="exact" w:val="340"/>
          <w:jc w:val="center"/>
        </w:trPr>
        <w:tc>
          <w:tcPr>
            <w:tcW w:w="667" w:type="pct"/>
            <w:vMerge w:val="restart"/>
            <w:tcBorders>
              <w:top w:val="single" w:sz="4" w:space="0" w:color="auto"/>
              <w:left w:val="nil"/>
              <w:bottom w:val="single" w:sz="4" w:space="0" w:color="auto"/>
              <w:right w:val="nil"/>
            </w:tcBorders>
            <w:vAlign w:val="center"/>
            <w:hideMark/>
          </w:tcPr>
          <w:p w14:paraId="6D2A36A9" w14:textId="77777777" w:rsidR="00171BC2" w:rsidRPr="006D7DCA" w:rsidRDefault="00171BC2" w:rsidP="00171BC2">
            <w:pPr>
              <w:spacing w:after="0" w:line="256" w:lineRule="auto"/>
              <w:rPr>
                <w:rFonts w:ascii="Times New Roman" w:eastAsia="Calibri" w:hAnsi="Times New Roman" w:cs="Times New Roman"/>
                <w:sz w:val="16"/>
                <w:szCs w:val="16"/>
              </w:rPr>
            </w:pPr>
            <w:proofErr w:type="spellStart"/>
            <w:r w:rsidRPr="006D7DCA">
              <w:rPr>
                <w:rFonts w:ascii="Times New Roman" w:eastAsia="Calibri" w:hAnsi="Times New Roman" w:cs="Times New Roman"/>
                <w:sz w:val="16"/>
                <w:szCs w:val="16"/>
              </w:rPr>
              <w:t>Engagement</w:t>
            </w:r>
            <w:proofErr w:type="spellEnd"/>
            <w:r w:rsidRPr="006D7DCA">
              <w:rPr>
                <w:rFonts w:ascii="Times New Roman" w:eastAsia="Calibri" w:hAnsi="Times New Roman" w:cs="Times New Roman"/>
                <w:sz w:val="16"/>
                <w:szCs w:val="16"/>
              </w:rPr>
              <w:t>. Absorción</w:t>
            </w:r>
          </w:p>
        </w:tc>
        <w:tc>
          <w:tcPr>
            <w:tcW w:w="345" w:type="pct"/>
            <w:tcBorders>
              <w:top w:val="single" w:sz="4" w:space="0" w:color="auto"/>
              <w:left w:val="nil"/>
              <w:bottom w:val="nil"/>
              <w:right w:val="nil"/>
            </w:tcBorders>
            <w:vAlign w:val="center"/>
            <w:hideMark/>
          </w:tcPr>
          <w:p w14:paraId="077FEAA2"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5158F86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10.80</w:t>
            </w:r>
          </w:p>
        </w:tc>
        <w:tc>
          <w:tcPr>
            <w:tcW w:w="486" w:type="pct"/>
            <w:tcBorders>
              <w:top w:val="single" w:sz="4" w:space="0" w:color="auto"/>
              <w:left w:val="nil"/>
              <w:bottom w:val="nil"/>
              <w:right w:val="nil"/>
            </w:tcBorders>
            <w:vAlign w:val="center"/>
            <w:hideMark/>
          </w:tcPr>
          <w:p w14:paraId="5D3F7AE9" w14:textId="77777777" w:rsidR="00171BC2" w:rsidRPr="006D7DCA" w:rsidRDefault="00171BC2" w:rsidP="00171BC2">
            <w:pPr>
              <w:spacing w:after="0" w:line="256" w:lineRule="auto"/>
              <w:jc w:val="center"/>
              <w:rPr>
                <w:rFonts w:ascii="Times New Roman" w:eastAsia="Calibri" w:hAnsi="Times New Roman" w:cs="Times New Roman"/>
                <w:sz w:val="16"/>
                <w:szCs w:val="16"/>
                <w:shd w:val="clear" w:color="auto" w:fill="FFFFFF"/>
              </w:rPr>
            </w:pPr>
            <w:r w:rsidRPr="006D7DCA">
              <w:rPr>
                <w:rFonts w:ascii="Times New Roman" w:eastAsia="Calibri" w:hAnsi="Times New Roman" w:cs="Times New Roman"/>
                <w:sz w:val="16"/>
                <w:szCs w:val="16"/>
              </w:rPr>
              <w:t>10.04</w:t>
            </w:r>
          </w:p>
        </w:tc>
        <w:tc>
          <w:tcPr>
            <w:tcW w:w="467" w:type="pct"/>
            <w:tcBorders>
              <w:top w:val="single" w:sz="4" w:space="0" w:color="auto"/>
              <w:left w:val="nil"/>
              <w:bottom w:val="nil"/>
              <w:right w:val="single" w:sz="4" w:space="0" w:color="auto"/>
            </w:tcBorders>
            <w:vAlign w:val="center"/>
            <w:hideMark/>
          </w:tcPr>
          <w:p w14:paraId="675B2C8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9.09</w:t>
            </w:r>
          </w:p>
        </w:tc>
        <w:tc>
          <w:tcPr>
            <w:tcW w:w="376" w:type="pct"/>
            <w:tcBorders>
              <w:top w:val="single" w:sz="4" w:space="0" w:color="auto"/>
              <w:left w:val="single" w:sz="4" w:space="0" w:color="auto"/>
              <w:bottom w:val="nil"/>
              <w:right w:val="nil"/>
            </w:tcBorders>
            <w:vAlign w:val="center"/>
            <w:hideMark/>
          </w:tcPr>
          <w:p w14:paraId="2FC77EB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10.75</w:t>
            </w:r>
          </w:p>
        </w:tc>
        <w:tc>
          <w:tcPr>
            <w:tcW w:w="487" w:type="pct"/>
            <w:tcBorders>
              <w:top w:val="single" w:sz="4" w:space="0" w:color="auto"/>
              <w:left w:val="nil"/>
              <w:bottom w:val="nil"/>
              <w:right w:val="nil"/>
            </w:tcBorders>
            <w:vAlign w:val="center"/>
            <w:hideMark/>
          </w:tcPr>
          <w:p w14:paraId="13545C1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9.72</w:t>
            </w:r>
          </w:p>
        </w:tc>
        <w:tc>
          <w:tcPr>
            <w:tcW w:w="467" w:type="pct"/>
            <w:tcBorders>
              <w:top w:val="single" w:sz="4" w:space="0" w:color="auto"/>
              <w:left w:val="nil"/>
              <w:bottom w:val="nil"/>
              <w:right w:val="single" w:sz="4" w:space="0" w:color="auto"/>
            </w:tcBorders>
            <w:vAlign w:val="center"/>
            <w:hideMark/>
          </w:tcPr>
          <w:p w14:paraId="265DA7A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10.16</w:t>
            </w:r>
          </w:p>
        </w:tc>
        <w:tc>
          <w:tcPr>
            <w:tcW w:w="376" w:type="pct"/>
            <w:tcBorders>
              <w:top w:val="single" w:sz="4" w:space="0" w:color="auto"/>
              <w:left w:val="single" w:sz="4" w:space="0" w:color="auto"/>
              <w:bottom w:val="nil"/>
              <w:right w:val="nil"/>
            </w:tcBorders>
            <w:vAlign w:val="center"/>
            <w:hideMark/>
          </w:tcPr>
          <w:p w14:paraId="71F4E46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10.91</w:t>
            </w:r>
          </w:p>
        </w:tc>
        <w:tc>
          <w:tcPr>
            <w:tcW w:w="487" w:type="pct"/>
            <w:tcBorders>
              <w:top w:val="single" w:sz="4" w:space="0" w:color="auto"/>
              <w:left w:val="nil"/>
              <w:bottom w:val="nil"/>
              <w:right w:val="nil"/>
            </w:tcBorders>
            <w:vAlign w:val="center"/>
            <w:hideMark/>
          </w:tcPr>
          <w:p w14:paraId="5AEBAC4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9.50</w:t>
            </w:r>
          </w:p>
        </w:tc>
        <w:tc>
          <w:tcPr>
            <w:tcW w:w="466" w:type="pct"/>
            <w:tcBorders>
              <w:top w:val="single" w:sz="4" w:space="0" w:color="auto"/>
              <w:left w:val="nil"/>
              <w:bottom w:val="nil"/>
              <w:right w:val="nil"/>
            </w:tcBorders>
            <w:vAlign w:val="center"/>
            <w:hideMark/>
          </w:tcPr>
          <w:p w14:paraId="1E3DA7C5"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8.77</w:t>
            </w:r>
          </w:p>
        </w:tc>
      </w:tr>
      <w:tr w:rsidR="006D7DCA" w:rsidRPr="006D7DCA" w14:paraId="448C7781"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191870F9"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nil"/>
              <w:left w:val="nil"/>
              <w:bottom w:val="single" w:sz="4" w:space="0" w:color="auto"/>
              <w:right w:val="nil"/>
            </w:tcBorders>
            <w:vAlign w:val="center"/>
            <w:hideMark/>
          </w:tcPr>
          <w:p w14:paraId="59B2C2FE"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39EF6F8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4.59</w:t>
            </w:r>
          </w:p>
        </w:tc>
        <w:tc>
          <w:tcPr>
            <w:tcW w:w="486" w:type="pct"/>
            <w:tcBorders>
              <w:top w:val="nil"/>
              <w:left w:val="nil"/>
              <w:bottom w:val="single" w:sz="4" w:space="0" w:color="auto"/>
              <w:right w:val="nil"/>
            </w:tcBorders>
            <w:vAlign w:val="center"/>
            <w:hideMark/>
          </w:tcPr>
          <w:p w14:paraId="31956A8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4.63</w:t>
            </w:r>
          </w:p>
        </w:tc>
        <w:tc>
          <w:tcPr>
            <w:tcW w:w="467" w:type="pct"/>
            <w:tcBorders>
              <w:top w:val="nil"/>
              <w:left w:val="nil"/>
              <w:bottom w:val="single" w:sz="4" w:space="0" w:color="auto"/>
              <w:right w:val="single" w:sz="4" w:space="0" w:color="auto"/>
            </w:tcBorders>
            <w:vAlign w:val="center"/>
            <w:hideMark/>
          </w:tcPr>
          <w:p w14:paraId="4C25700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4.99</w:t>
            </w:r>
          </w:p>
        </w:tc>
        <w:tc>
          <w:tcPr>
            <w:tcW w:w="376" w:type="pct"/>
            <w:tcBorders>
              <w:top w:val="nil"/>
              <w:left w:val="single" w:sz="4" w:space="0" w:color="auto"/>
              <w:bottom w:val="single" w:sz="4" w:space="0" w:color="auto"/>
              <w:right w:val="nil"/>
            </w:tcBorders>
            <w:vAlign w:val="center"/>
            <w:hideMark/>
          </w:tcPr>
          <w:p w14:paraId="534776F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4.66</w:t>
            </w:r>
          </w:p>
        </w:tc>
        <w:tc>
          <w:tcPr>
            <w:tcW w:w="487" w:type="pct"/>
            <w:tcBorders>
              <w:top w:val="nil"/>
              <w:left w:val="nil"/>
              <w:bottom w:val="single" w:sz="4" w:space="0" w:color="auto"/>
              <w:right w:val="nil"/>
            </w:tcBorders>
            <w:vAlign w:val="center"/>
            <w:hideMark/>
          </w:tcPr>
          <w:p w14:paraId="77AC9575"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4.52</w:t>
            </w:r>
          </w:p>
        </w:tc>
        <w:tc>
          <w:tcPr>
            <w:tcW w:w="467" w:type="pct"/>
            <w:tcBorders>
              <w:top w:val="nil"/>
              <w:left w:val="nil"/>
              <w:bottom w:val="single" w:sz="4" w:space="0" w:color="auto"/>
              <w:right w:val="single" w:sz="4" w:space="0" w:color="auto"/>
            </w:tcBorders>
            <w:vAlign w:val="center"/>
            <w:hideMark/>
          </w:tcPr>
          <w:p w14:paraId="32EEA9A2"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4.81</w:t>
            </w:r>
          </w:p>
        </w:tc>
        <w:tc>
          <w:tcPr>
            <w:tcW w:w="376" w:type="pct"/>
            <w:tcBorders>
              <w:top w:val="nil"/>
              <w:left w:val="single" w:sz="4" w:space="0" w:color="auto"/>
              <w:bottom w:val="single" w:sz="4" w:space="0" w:color="auto"/>
              <w:right w:val="nil"/>
            </w:tcBorders>
            <w:vAlign w:val="center"/>
            <w:hideMark/>
          </w:tcPr>
          <w:p w14:paraId="08EE76B5"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4.56</w:t>
            </w:r>
          </w:p>
        </w:tc>
        <w:tc>
          <w:tcPr>
            <w:tcW w:w="487" w:type="pct"/>
            <w:tcBorders>
              <w:top w:val="nil"/>
              <w:left w:val="nil"/>
              <w:bottom w:val="single" w:sz="4" w:space="0" w:color="auto"/>
              <w:right w:val="nil"/>
            </w:tcBorders>
            <w:vAlign w:val="center"/>
            <w:hideMark/>
          </w:tcPr>
          <w:p w14:paraId="3F4CC2D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4.65</w:t>
            </w:r>
          </w:p>
        </w:tc>
        <w:tc>
          <w:tcPr>
            <w:tcW w:w="466" w:type="pct"/>
            <w:tcBorders>
              <w:top w:val="nil"/>
              <w:left w:val="nil"/>
              <w:bottom w:val="single" w:sz="4" w:space="0" w:color="auto"/>
              <w:right w:val="nil"/>
            </w:tcBorders>
            <w:vAlign w:val="center"/>
            <w:hideMark/>
          </w:tcPr>
          <w:p w14:paraId="7EDB77B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4.99</w:t>
            </w:r>
          </w:p>
        </w:tc>
      </w:tr>
      <w:tr w:rsidR="006D7DCA" w:rsidRPr="006D7DCA" w14:paraId="1299F506"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5BD16967"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single" w:sz="4" w:space="0" w:color="auto"/>
              <w:left w:val="nil"/>
              <w:bottom w:val="single" w:sz="4" w:space="0" w:color="auto"/>
              <w:right w:val="nil"/>
            </w:tcBorders>
            <w:vAlign w:val="center"/>
            <w:hideMark/>
          </w:tcPr>
          <w:p w14:paraId="0BC57095" w14:textId="5CF0379C" w:rsidR="00171BC2" w:rsidRPr="006D7DCA" w:rsidRDefault="00DE401D" w:rsidP="00171BC2">
            <w:pPr>
              <w:spacing w:after="0" w:line="256" w:lineRule="auto"/>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29" w:type="pct"/>
            <w:gridSpan w:val="3"/>
            <w:tcBorders>
              <w:top w:val="single" w:sz="4" w:space="0" w:color="auto"/>
              <w:left w:val="nil"/>
              <w:bottom w:val="single" w:sz="4" w:space="0" w:color="auto"/>
              <w:right w:val="single" w:sz="4" w:space="0" w:color="auto"/>
            </w:tcBorders>
            <w:vAlign w:val="center"/>
            <w:hideMark/>
          </w:tcPr>
          <w:p w14:paraId="307CC7A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31" w:type="pct"/>
            <w:gridSpan w:val="3"/>
            <w:tcBorders>
              <w:top w:val="single" w:sz="4" w:space="0" w:color="auto"/>
              <w:left w:val="single" w:sz="4" w:space="0" w:color="auto"/>
              <w:bottom w:val="single" w:sz="4" w:space="0" w:color="auto"/>
              <w:right w:val="single" w:sz="4" w:space="0" w:color="auto"/>
            </w:tcBorders>
            <w:vAlign w:val="center"/>
            <w:hideMark/>
          </w:tcPr>
          <w:p w14:paraId="3E03AB4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29" w:type="pct"/>
            <w:gridSpan w:val="3"/>
            <w:tcBorders>
              <w:top w:val="single" w:sz="4" w:space="0" w:color="auto"/>
              <w:left w:val="single" w:sz="4" w:space="0" w:color="auto"/>
              <w:bottom w:val="single" w:sz="4" w:space="0" w:color="auto"/>
              <w:right w:val="nil"/>
            </w:tcBorders>
            <w:vAlign w:val="center"/>
            <w:hideMark/>
          </w:tcPr>
          <w:p w14:paraId="2DCFA92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5E7D9519" w14:textId="77777777" w:rsidTr="00DE401D">
        <w:trPr>
          <w:trHeight w:hRule="exact" w:val="340"/>
          <w:jc w:val="center"/>
        </w:trPr>
        <w:tc>
          <w:tcPr>
            <w:tcW w:w="667" w:type="pct"/>
            <w:vMerge w:val="restart"/>
            <w:tcBorders>
              <w:top w:val="single" w:sz="4" w:space="0" w:color="auto"/>
              <w:left w:val="nil"/>
              <w:bottom w:val="single" w:sz="4" w:space="0" w:color="auto"/>
              <w:right w:val="nil"/>
            </w:tcBorders>
            <w:vAlign w:val="center"/>
            <w:hideMark/>
          </w:tcPr>
          <w:p w14:paraId="37599A35"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Burnout. Eficiencia académica</w:t>
            </w:r>
          </w:p>
        </w:tc>
        <w:tc>
          <w:tcPr>
            <w:tcW w:w="345" w:type="pct"/>
            <w:tcBorders>
              <w:top w:val="single" w:sz="4" w:space="0" w:color="auto"/>
              <w:left w:val="nil"/>
              <w:bottom w:val="nil"/>
              <w:right w:val="nil"/>
            </w:tcBorders>
            <w:vAlign w:val="center"/>
            <w:hideMark/>
          </w:tcPr>
          <w:p w14:paraId="037DB17C"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080E877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27.61</w:t>
            </w:r>
          </w:p>
        </w:tc>
        <w:tc>
          <w:tcPr>
            <w:tcW w:w="486" w:type="pct"/>
            <w:tcBorders>
              <w:top w:val="single" w:sz="4" w:space="0" w:color="auto"/>
              <w:left w:val="nil"/>
              <w:bottom w:val="nil"/>
              <w:right w:val="nil"/>
            </w:tcBorders>
            <w:vAlign w:val="center"/>
            <w:hideMark/>
          </w:tcPr>
          <w:p w14:paraId="306E9FA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27.00</w:t>
            </w:r>
          </w:p>
        </w:tc>
        <w:tc>
          <w:tcPr>
            <w:tcW w:w="467" w:type="pct"/>
            <w:tcBorders>
              <w:top w:val="single" w:sz="4" w:space="0" w:color="auto"/>
              <w:left w:val="nil"/>
              <w:bottom w:val="nil"/>
              <w:right w:val="single" w:sz="4" w:space="0" w:color="auto"/>
            </w:tcBorders>
            <w:vAlign w:val="center"/>
            <w:hideMark/>
          </w:tcPr>
          <w:p w14:paraId="1EF01DA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25.24</w:t>
            </w:r>
          </w:p>
        </w:tc>
        <w:tc>
          <w:tcPr>
            <w:tcW w:w="376" w:type="pct"/>
            <w:tcBorders>
              <w:top w:val="single" w:sz="4" w:space="0" w:color="auto"/>
              <w:left w:val="single" w:sz="4" w:space="0" w:color="auto"/>
              <w:bottom w:val="nil"/>
              <w:right w:val="nil"/>
            </w:tcBorders>
            <w:vAlign w:val="center"/>
            <w:hideMark/>
          </w:tcPr>
          <w:p w14:paraId="7CADF118"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27.84</w:t>
            </w:r>
          </w:p>
        </w:tc>
        <w:tc>
          <w:tcPr>
            <w:tcW w:w="487" w:type="pct"/>
            <w:tcBorders>
              <w:top w:val="single" w:sz="4" w:space="0" w:color="auto"/>
              <w:left w:val="nil"/>
              <w:bottom w:val="nil"/>
              <w:right w:val="nil"/>
            </w:tcBorders>
            <w:vAlign w:val="center"/>
            <w:hideMark/>
          </w:tcPr>
          <w:p w14:paraId="380721B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26.11</w:t>
            </w:r>
          </w:p>
        </w:tc>
        <w:tc>
          <w:tcPr>
            <w:tcW w:w="467" w:type="pct"/>
            <w:tcBorders>
              <w:top w:val="single" w:sz="4" w:space="0" w:color="auto"/>
              <w:left w:val="nil"/>
              <w:bottom w:val="nil"/>
              <w:right w:val="single" w:sz="4" w:space="0" w:color="auto"/>
            </w:tcBorders>
            <w:vAlign w:val="center"/>
            <w:hideMark/>
          </w:tcPr>
          <w:p w14:paraId="04A5A7B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25.85</w:t>
            </w:r>
          </w:p>
        </w:tc>
        <w:tc>
          <w:tcPr>
            <w:tcW w:w="376" w:type="pct"/>
            <w:tcBorders>
              <w:top w:val="single" w:sz="4" w:space="0" w:color="auto"/>
              <w:left w:val="single" w:sz="4" w:space="0" w:color="auto"/>
              <w:bottom w:val="nil"/>
              <w:right w:val="nil"/>
            </w:tcBorders>
            <w:vAlign w:val="center"/>
            <w:hideMark/>
          </w:tcPr>
          <w:p w14:paraId="6220452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27.99</w:t>
            </w:r>
          </w:p>
        </w:tc>
        <w:tc>
          <w:tcPr>
            <w:tcW w:w="487" w:type="pct"/>
            <w:tcBorders>
              <w:top w:val="single" w:sz="4" w:space="0" w:color="auto"/>
              <w:left w:val="nil"/>
              <w:bottom w:val="nil"/>
              <w:right w:val="nil"/>
            </w:tcBorders>
            <w:vAlign w:val="center"/>
            <w:hideMark/>
          </w:tcPr>
          <w:p w14:paraId="0B0A37C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25.76</w:t>
            </w:r>
          </w:p>
        </w:tc>
        <w:tc>
          <w:tcPr>
            <w:tcW w:w="466" w:type="pct"/>
            <w:tcBorders>
              <w:top w:val="single" w:sz="4" w:space="0" w:color="auto"/>
              <w:left w:val="nil"/>
              <w:bottom w:val="nil"/>
              <w:right w:val="nil"/>
            </w:tcBorders>
            <w:vAlign w:val="center"/>
            <w:hideMark/>
          </w:tcPr>
          <w:p w14:paraId="22096BE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23.91</w:t>
            </w:r>
          </w:p>
        </w:tc>
      </w:tr>
      <w:tr w:rsidR="006D7DCA" w:rsidRPr="006D7DCA" w14:paraId="6D3A6F79"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12CDB68D"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nil"/>
              <w:left w:val="nil"/>
              <w:bottom w:val="single" w:sz="4" w:space="0" w:color="auto"/>
              <w:right w:val="nil"/>
            </w:tcBorders>
            <w:vAlign w:val="center"/>
            <w:hideMark/>
          </w:tcPr>
          <w:p w14:paraId="78E10A39"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6C52261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6.94</w:t>
            </w:r>
          </w:p>
        </w:tc>
        <w:tc>
          <w:tcPr>
            <w:tcW w:w="486" w:type="pct"/>
            <w:tcBorders>
              <w:top w:val="nil"/>
              <w:left w:val="nil"/>
              <w:bottom w:val="single" w:sz="4" w:space="0" w:color="auto"/>
              <w:right w:val="nil"/>
            </w:tcBorders>
            <w:vAlign w:val="center"/>
            <w:hideMark/>
          </w:tcPr>
          <w:p w14:paraId="268C241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6.02</w:t>
            </w:r>
          </w:p>
        </w:tc>
        <w:tc>
          <w:tcPr>
            <w:tcW w:w="467" w:type="pct"/>
            <w:tcBorders>
              <w:top w:val="nil"/>
              <w:left w:val="nil"/>
              <w:bottom w:val="single" w:sz="4" w:space="0" w:color="auto"/>
              <w:right w:val="single" w:sz="4" w:space="0" w:color="auto"/>
            </w:tcBorders>
            <w:vAlign w:val="center"/>
            <w:hideMark/>
          </w:tcPr>
          <w:p w14:paraId="695130D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7.27</w:t>
            </w:r>
          </w:p>
        </w:tc>
        <w:tc>
          <w:tcPr>
            <w:tcW w:w="376" w:type="pct"/>
            <w:tcBorders>
              <w:top w:val="nil"/>
              <w:left w:val="single" w:sz="4" w:space="0" w:color="auto"/>
              <w:bottom w:val="single" w:sz="4" w:space="0" w:color="auto"/>
              <w:right w:val="nil"/>
            </w:tcBorders>
            <w:vAlign w:val="center"/>
            <w:hideMark/>
          </w:tcPr>
          <w:p w14:paraId="6ACB819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6.68</w:t>
            </w:r>
          </w:p>
        </w:tc>
        <w:tc>
          <w:tcPr>
            <w:tcW w:w="487" w:type="pct"/>
            <w:tcBorders>
              <w:top w:val="nil"/>
              <w:left w:val="nil"/>
              <w:bottom w:val="single" w:sz="4" w:space="0" w:color="auto"/>
              <w:right w:val="nil"/>
            </w:tcBorders>
            <w:vAlign w:val="center"/>
            <w:hideMark/>
          </w:tcPr>
          <w:p w14:paraId="1C36933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6.67</w:t>
            </w:r>
          </w:p>
        </w:tc>
        <w:tc>
          <w:tcPr>
            <w:tcW w:w="467" w:type="pct"/>
            <w:tcBorders>
              <w:top w:val="nil"/>
              <w:left w:val="nil"/>
              <w:bottom w:val="single" w:sz="4" w:space="0" w:color="auto"/>
              <w:right w:val="single" w:sz="4" w:space="0" w:color="auto"/>
            </w:tcBorders>
            <w:vAlign w:val="center"/>
            <w:hideMark/>
          </w:tcPr>
          <w:p w14:paraId="74BB2C8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7.37</w:t>
            </w:r>
          </w:p>
        </w:tc>
        <w:tc>
          <w:tcPr>
            <w:tcW w:w="376" w:type="pct"/>
            <w:tcBorders>
              <w:top w:val="nil"/>
              <w:left w:val="single" w:sz="4" w:space="0" w:color="auto"/>
              <w:bottom w:val="single" w:sz="4" w:space="0" w:color="auto"/>
              <w:right w:val="nil"/>
            </w:tcBorders>
            <w:vAlign w:val="center"/>
            <w:hideMark/>
          </w:tcPr>
          <w:p w14:paraId="4BA7242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6.61</w:t>
            </w:r>
          </w:p>
        </w:tc>
        <w:tc>
          <w:tcPr>
            <w:tcW w:w="487" w:type="pct"/>
            <w:tcBorders>
              <w:top w:val="nil"/>
              <w:left w:val="nil"/>
              <w:bottom w:val="single" w:sz="4" w:space="0" w:color="auto"/>
              <w:right w:val="nil"/>
            </w:tcBorders>
            <w:vAlign w:val="center"/>
            <w:hideMark/>
          </w:tcPr>
          <w:p w14:paraId="6623F85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6.46</w:t>
            </w:r>
          </w:p>
        </w:tc>
        <w:tc>
          <w:tcPr>
            <w:tcW w:w="466" w:type="pct"/>
            <w:tcBorders>
              <w:top w:val="nil"/>
              <w:left w:val="nil"/>
              <w:bottom w:val="single" w:sz="4" w:space="0" w:color="auto"/>
              <w:right w:val="nil"/>
            </w:tcBorders>
            <w:vAlign w:val="center"/>
            <w:hideMark/>
          </w:tcPr>
          <w:p w14:paraId="0CF9FBB8"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7.95</w:t>
            </w:r>
          </w:p>
        </w:tc>
      </w:tr>
      <w:tr w:rsidR="006D7DCA" w:rsidRPr="006D7DCA" w14:paraId="246EE169"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75D3668C"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single" w:sz="4" w:space="0" w:color="auto"/>
              <w:left w:val="nil"/>
              <w:bottom w:val="single" w:sz="4" w:space="0" w:color="auto"/>
              <w:right w:val="nil"/>
            </w:tcBorders>
            <w:vAlign w:val="center"/>
            <w:hideMark/>
          </w:tcPr>
          <w:p w14:paraId="4A11F0C9" w14:textId="64321CA6" w:rsidR="00171BC2" w:rsidRPr="006D7DCA" w:rsidRDefault="00DE401D" w:rsidP="00171BC2">
            <w:pPr>
              <w:spacing w:after="0" w:line="256" w:lineRule="auto"/>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29" w:type="pct"/>
            <w:gridSpan w:val="3"/>
            <w:tcBorders>
              <w:top w:val="single" w:sz="4" w:space="0" w:color="auto"/>
              <w:left w:val="nil"/>
              <w:bottom w:val="single" w:sz="4" w:space="0" w:color="auto"/>
              <w:right w:val="single" w:sz="4" w:space="0" w:color="auto"/>
            </w:tcBorders>
            <w:vAlign w:val="center"/>
            <w:hideMark/>
          </w:tcPr>
          <w:p w14:paraId="2D4F267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31" w:type="pct"/>
            <w:gridSpan w:val="3"/>
            <w:tcBorders>
              <w:top w:val="single" w:sz="4" w:space="0" w:color="auto"/>
              <w:left w:val="single" w:sz="4" w:space="0" w:color="auto"/>
              <w:bottom w:val="single" w:sz="4" w:space="0" w:color="auto"/>
              <w:right w:val="single" w:sz="4" w:space="0" w:color="auto"/>
            </w:tcBorders>
            <w:vAlign w:val="center"/>
            <w:hideMark/>
          </w:tcPr>
          <w:p w14:paraId="508355B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29" w:type="pct"/>
            <w:gridSpan w:val="3"/>
            <w:tcBorders>
              <w:top w:val="single" w:sz="4" w:space="0" w:color="auto"/>
              <w:left w:val="single" w:sz="4" w:space="0" w:color="auto"/>
              <w:bottom w:val="single" w:sz="4" w:space="0" w:color="auto"/>
              <w:right w:val="nil"/>
            </w:tcBorders>
            <w:vAlign w:val="center"/>
            <w:hideMark/>
          </w:tcPr>
          <w:p w14:paraId="597CD11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32C74DDE" w14:textId="77777777" w:rsidTr="00DE401D">
        <w:trPr>
          <w:trHeight w:hRule="exact" w:val="340"/>
          <w:jc w:val="center"/>
        </w:trPr>
        <w:tc>
          <w:tcPr>
            <w:tcW w:w="667" w:type="pct"/>
            <w:vMerge w:val="restart"/>
            <w:tcBorders>
              <w:top w:val="single" w:sz="4" w:space="0" w:color="auto"/>
              <w:left w:val="nil"/>
              <w:bottom w:val="single" w:sz="4" w:space="0" w:color="auto"/>
              <w:right w:val="nil"/>
            </w:tcBorders>
            <w:vAlign w:val="center"/>
            <w:hideMark/>
          </w:tcPr>
          <w:p w14:paraId="4CCA4280"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Burnout. Cinismo</w:t>
            </w:r>
          </w:p>
        </w:tc>
        <w:tc>
          <w:tcPr>
            <w:tcW w:w="345" w:type="pct"/>
            <w:tcBorders>
              <w:top w:val="single" w:sz="4" w:space="0" w:color="auto"/>
              <w:left w:val="nil"/>
              <w:bottom w:val="nil"/>
              <w:right w:val="nil"/>
            </w:tcBorders>
            <w:vAlign w:val="center"/>
            <w:hideMark/>
          </w:tcPr>
          <w:p w14:paraId="0665FBAD"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1174C0C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3.26</w:t>
            </w:r>
          </w:p>
        </w:tc>
        <w:tc>
          <w:tcPr>
            <w:tcW w:w="486" w:type="pct"/>
            <w:tcBorders>
              <w:top w:val="single" w:sz="4" w:space="0" w:color="auto"/>
              <w:left w:val="nil"/>
              <w:bottom w:val="nil"/>
              <w:right w:val="nil"/>
            </w:tcBorders>
            <w:vAlign w:val="center"/>
            <w:hideMark/>
          </w:tcPr>
          <w:p w14:paraId="4714CDE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4.61</w:t>
            </w:r>
          </w:p>
        </w:tc>
        <w:tc>
          <w:tcPr>
            <w:tcW w:w="467" w:type="pct"/>
            <w:tcBorders>
              <w:top w:val="single" w:sz="4" w:space="0" w:color="auto"/>
              <w:left w:val="nil"/>
              <w:bottom w:val="nil"/>
              <w:right w:val="single" w:sz="4" w:space="0" w:color="auto"/>
            </w:tcBorders>
            <w:vAlign w:val="center"/>
            <w:hideMark/>
          </w:tcPr>
          <w:p w14:paraId="042C5D42"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6.63</w:t>
            </w:r>
          </w:p>
        </w:tc>
        <w:tc>
          <w:tcPr>
            <w:tcW w:w="376" w:type="pct"/>
            <w:tcBorders>
              <w:top w:val="single" w:sz="4" w:space="0" w:color="auto"/>
              <w:left w:val="single" w:sz="4" w:space="0" w:color="auto"/>
              <w:bottom w:val="nil"/>
              <w:right w:val="nil"/>
            </w:tcBorders>
            <w:vAlign w:val="center"/>
            <w:hideMark/>
          </w:tcPr>
          <w:p w14:paraId="350258E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3.27</w:t>
            </w:r>
          </w:p>
        </w:tc>
        <w:tc>
          <w:tcPr>
            <w:tcW w:w="487" w:type="pct"/>
            <w:tcBorders>
              <w:top w:val="single" w:sz="4" w:space="0" w:color="auto"/>
              <w:left w:val="nil"/>
              <w:bottom w:val="nil"/>
              <w:right w:val="nil"/>
            </w:tcBorders>
            <w:vAlign w:val="center"/>
            <w:hideMark/>
          </w:tcPr>
          <w:p w14:paraId="3618C0E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4.82</w:t>
            </w:r>
          </w:p>
        </w:tc>
        <w:tc>
          <w:tcPr>
            <w:tcW w:w="467" w:type="pct"/>
            <w:tcBorders>
              <w:top w:val="single" w:sz="4" w:space="0" w:color="auto"/>
              <w:left w:val="nil"/>
              <w:bottom w:val="nil"/>
              <w:right w:val="single" w:sz="4" w:space="0" w:color="auto"/>
            </w:tcBorders>
            <w:vAlign w:val="center"/>
            <w:hideMark/>
          </w:tcPr>
          <w:p w14:paraId="6EAC24F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5.76</w:t>
            </w:r>
          </w:p>
        </w:tc>
        <w:tc>
          <w:tcPr>
            <w:tcW w:w="376" w:type="pct"/>
            <w:tcBorders>
              <w:top w:val="single" w:sz="4" w:space="0" w:color="auto"/>
              <w:left w:val="single" w:sz="4" w:space="0" w:color="auto"/>
              <w:bottom w:val="nil"/>
              <w:right w:val="nil"/>
            </w:tcBorders>
            <w:vAlign w:val="center"/>
            <w:hideMark/>
          </w:tcPr>
          <w:p w14:paraId="5D14196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3.10</w:t>
            </w:r>
          </w:p>
        </w:tc>
        <w:tc>
          <w:tcPr>
            <w:tcW w:w="487" w:type="pct"/>
            <w:tcBorders>
              <w:top w:val="single" w:sz="4" w:space="0" w:color="auto"/>
              <w:left w:val="nil"/>
              <w:bottom w:val="nil"/>
              <w:right w:val="nil"/>
            </w:tcBorders>
            <w:vAlign w:val="center"/>
            <w:hideMark/>
          </w:tcPr>
          <w:p w14:paraId="671EC135"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5.21</w:t>
            </w:r>
          </w:p>
        </w:tc>
        <w:tc>
          <w:tcPr>
            <w:tcW w:w="466" w:type="pct"/>
            <w:tcBorders>
              <w:top w:val="single" w:sz="4" w:space="0" w:color="auto"/>
              <w:left w:val="nil"/>
              <w:bottom w:val="nil"/>
              <w:right w:val="nil"/>
            </w:tcBorders>
            <w:vAlign w:val="center"/>
            <w:hideMark/>
          </w:tcPr>
          <w:p w14:paraId="21E6EAB8"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8.00</w:t>
            </w:r>
          </w:p>
        </w:tc>
      </w:tr>
      <w:tr w:rsidR="006D7DCA" w:rsidRPr="006D7DCA" w14:paraId="42E6C46D"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2302F9E5"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nil"/>
              <w:left w:val="nil"/>
              <w:bottom w:val="single" w:sz="4" w:space="0" w:color="auto"/>
              <w:right w:val="nil"/>
            </w:tcBorders>
            <w:vAlign w:val="center"/>
            <w:hideMark/>
          </w:tcPr>
          <w:p w14:paraId="44397B2A"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6C36E43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5.48</w:t>
            </w:r>
          </w:p>
        </w:tc>
        <w:tc>
          <w:tcPr>
            <w:tcW w:w="486" w:type="pct"/>
            <w:tcBorders>
              <w:top w:val="nil"/>
              <w:left w:val="nil"/>
              <w:bottom w:val="single" w:sz="4" w:space="0" w:color="auto"/>
              <w:right w:val="nil"/>
            </w:tcBorders>
            <w:vAlign w:val="center"/>
            <w:hideMark/>
          </w:tcPr>
          <w:p w14:paraId="10DD98F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6.04</w:t>
            </w:r>
          </w:p>
        </w:tc>
        <w:tc>
          <w:tcPr>
            <w:tcW w:w="467" w:type="pct"/>
            <w:tcBorders>
              <w:top w:val="nil"/>
              <w:left w:val="nil"/>
              <w:bottom w:val="single" w:sz="4" w:space="0" w:color="auto"/>
              <w:right w:val="single" w:sz="4" w:space="0" w:color="auto"/>
            </w:tcBorders>
            <w:vAlign w:val="center"/>
            <w:hideMark/>
          </w:tcPr>
          <w:p w14:paraId="2041781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6.67</w:t>
            </w:r>
          </w:p>
        </w:tc>
        <w:tc>
          <w:tcPr>
            <w:tcW w:w="376" w:type="pct"/>
            <w:tcBorders>
              <w:top w:val="nil"/>
              <w:left w:val="single" w:sz="4" w:space="0" w:color="auto"/>
              <w:bottom w:val="single" w:sz="4" w:space="0" w:color="auto"/>
              <w:right w:val="nil"/>
            </w:tcBorders>
            <w:vAlign w:val="center"/>
            <w:hideMark/>
          </w:tcPr>
          <w:p w14:paraId="0AA8238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5.54</w:t>
            </w:r>
          </w:p>
        </w:tc>
        <w:tc>
          <w:tcPr>
            <w:tcW w:w="487" w:type="pct"/>
            <w:tcBorders>
              <w:top w:val="nil"/>
              <w:left w:val="nil"/>
              <w:bottom w:val="single" w:sz="4" w:space="0" w:color="auto"/>
              <w:right w:val="nil"/>
            </w:tcBorders>
            <w:vAlign w:val="center"/>
            <w:hideMark/>
          </w:tcPr>
          <w:p w14:paraId="6F68D055"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5.94</w:t>
            </w:r>
          </w:p>
        </w:tc>
        <w:tc>
          <w:tcPr>
            <w:tcW w:w="467" w:type="pct"/>
            <w:tcBorders>
              <w:top w:val="nil"/>
              <w:left w:val="nil"/>
              <w:bottom w:val="single" w:sz="4" w:space="0" w:color="auto"/>
              <w:right w:val="single" w:sz="4" w:space="0" w:color="auto"/>
            </w:tcBorders>
            <w:vAlign w:val="center"/>
            <w:hideMark/>
          </w:tcPr>
          <w:p w14:paraId="230D2D3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6.58</w:t>
            </w:r>
          </w:p>
        </w:tc>
        <w:tc>
          <w:tcPr>
            <w:tcW w:w="376" w:type="pct"/>
            <w:tcBorders>
              <w:top w:val="nil"/>
              <w:left w:val="single" w:sz="4" w:space="0" w:color="auto"/>
              <w:bottom w:val="single" w:sz="4" w:space="0" w:color="auto"/>
              <w:right w:val="nil"/>
            </w:tcBorders>
            <w:vAlign w:val="center"/>
            <w:hideMark/>
          </w:tcPr>
          <w:p w14:paraId="4B8D476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5.28</w:t>
            </w:r>
          </w:p>
        </w:tc>
        <w:tc>
          <w:tcPr>
            <w:tcW w:w="487" w:type="pct"/>
            <w:tcBorders>
              <w:top w:val="nil"/>
              <w:left w:val="nil"/>
              <w:bottom w:val="single" w:sz="4" w:space="0" w:color="auto"/>
              <w:right w:val="nil"/>
            </w:tcBorders>
            <w:vAlign w:val="center"/>
            <w:hideMark/>
          </w:tcPr>
          <w:p w14:paraId="05F9879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6.06</w:t>
            </w:r>
          </w:p>
        </w:tc>
        <w:tc>
          <w:tcPr>
            <w:tcW w:w="466" w:type="pct"/>
            <w:tcBorders>
              <w:top w:val="nil"/>
              <w:left w:val="nil"/>
              <w:bottom w:val="single" w:sz="4" w:space="0" w:color="auto"/>
              <w:right w:val="nil"/>
            </w:tcBorders>
            <w:vAlign w:val="center"/>
            <w:hideMark/>
          </w:tcPr>
          <w:p w14:paraId="50D2D29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7.69</w:t>
            </w:r>
          </w:p>
        </w:tc>
      </w:tr>
      <w:tr w:rsidR="006D7DCA" w:rsidRPr="006D7DCA" w14:paraId="5833ACCA"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2A0A58F3"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single" w:sz="4" w:space="0" w:color="auto"/>
              <w:left w:val="nil"/>
              <w:bottom w:val="single" w:sz="4" w:space="0" w:color="auto"/>
              <w:right w:val="nil"/>
            </w:tcBorders>
            <w:vAlign w:val="center"/>
            <w:hideMark/>
          </w:tcPr>
          <w:p w14:paraId="6A032376" w14:textId="23FBB65A" w:rsidR="00171BC2" w:rsidRPr="006D7DCA" w:rsidRDefault="00DE401D" w:rsidP="00171BC2">
            <w:pPr>
              <w:spacing w:after="0" w:line="256" w:lineRule="auto"/>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29" w:type="pct"/>
            <w:gridSpan w:val="3"/>
            <w:tcBorders>
              <w:top w:val="single" w:sz="4" w:space="0" w:color="auto"/>
              <w:left w:val="nil"/>
              <w:bottom w:val="single" w:sz="4" w:space="0" w:color="auto"/>
              <w:right w:val="single" w:sz="4" w:space="0" w:color="auto"/>
            </w:tcBorders>
            <w:vAlign w:val="center"/>
            <w:hideMark/>
          </w:tcPr>
          <w:p w14:paraId="1574671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31" w:type="pct"/>
            <w:gridSpan w:val="3"/>
            <w:tcBorders>
              <w:top w:val="single" w:sz="4" w:space="0" w:color="auto"/>
              <w:left w:val="single" w:sz="4" w:space="0" w:color="auto"/>
              <w:bottom w:val="single" w:sz="4" w:space="0" w:color="auto"/>
              <w:right w:val="single" w:sz="4" w:space="0" w:color="auto"/>
            </w:tcBorders>
            <w:vAlign w:val="center"/>
            <w:hideMark/>
          </w:tcPr>
          <w:p w14:paraId="2DA4D06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29" w:type="pct"/>
            <w:gridSpan w:val="3"/>
            <w:tcBorders>
              <w:top w:val="single" w:sz="4" w:space="0" w:color="auto"/>
              <w:left w:val="single" w:sz="4" w:space="0" w:color="auto"/>
              <w:bottom w:val="single" w:sz="4" w:space="0" w:color="auto"/>
              <w:right w:val="nil"/>
            </w:tcBorders>
            <w:vAlign w:val="center"/>
            <w:hideMark/>
          </w:tcPr>
          <w:p w14:paraId="26DBC57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7B8B51E8" w14:textId="77777777" w:rsidTr="00DE401D">
        <w:trPr>
          <w:trHeight w:hRule="exact" w:val="340"/>
          <w:jc w:val="center"/>
        </w:trPr>
        <w:tc>
          <w:tcPr>
            <w:tcW w:w="667" w:type="pct"/>
            <w:vMerge w:val="restart"/>
            <w:tcBorders>
              <w:top w:val="single" w:sz="4" w:space="0" w:color="auto"/>
              <w:left w:val="nil"/>
              <w:bottom w:val="single" w:sz="4" w:space="0" w:color="auto"/>
              <w:right w:val="nil"/>
            </w:tcBorders>
            <w:vAlign w:val="center"/>
            <w:hideMark/>
          </w:tcPr>
          <w:p w14:paraId="5178A88F"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Burnout. Agotamiento emocional</w:t>
            </w:r>
          </w:p>
        </w:tc>
        <w:tc>
          <w:tcPr>
            <w:tcW w:w="345" w:type="pct"/>
            <w:tcBorders>
              <w:top w:val="single" w:sz="4" w:space="0" w:color="auto"/>
              <w:left w:val="nil"/>
              <w:bottom w:val="nil"/>
              <w:right w:val="nil"/>
            </w:tcBorders>
            <w:vAlign w:val="center"/>
            <w:hideMark/>
          </w:tcPr>
          <w:p w14:paraId="1CE7545D"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719C222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12.45</w:t>
            </w:r>
          </w:p>
        </w:tc>
        <w:tc>
          <w:tcPr>
            <w:tcW w:w="486" w:type="pct"/>
            <w:tcBorders>
              <w:top w:val="single" w:sz="4" w:space="0" w:color="auto"/>
              <w:left w:val="nil"/>
              <w:bottom w:val="nil"/>
              <w:right w:val="nil"/>
            </w:tcBorders>
            <w:vAlign w:val="center"/>
            <w:hideMark/>
          </w:tcPr>
          <w:p w14:paraId="0DD78FC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16.91</w:t>
            </w:r>
          </w:p>
        </w:tc>
        <w:tc>
          <w:tcPr>
            <w:tcW w:w="467" w:type="pct"/>
            <w:tcBorders>
              <w:top w:val="single" w:sz="4" w:space="0" w:color="auto"/>
              <w:left w:val="nil"/>
              <w:bottom w:val="nil"/>
              <w:right w:val="single" w:sz="4" w:space="0" w:color="auto"/>
            </w:tcBorders>
            <w:vAlign w:val="center"/>
            <w:hideMark/>
          </w:tcPr>
          <w:p w14:paraId="21B4B71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20.75</w:t>
            </w:r>
          </w:p>
        </w:tc>
        <w:tc>
          <w:tcPr>
            <w:tcW w:w="376" w:type="pct"/>
            <w:tcBorders>
              <w:top w:val="single" w:sz="4" w:space="0" w:color="auto"/>
              <w:left w:val="single" w:sz="4" w:space="0" w:color="auto"/>
              <w:bottom w:val="nil"/>
              <w:right w:val="nil"/>
            </w:tcBorders>
            <w:vAlign w:val="center"/>
            <w:hideMark/>
          </w:tcPr>
          <w:p w14:paraId="2CDFC9D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12.62</w:t>
            </w:r>
          </w:p>
        </w:tc>
        <w:tc>
          <w:tcPr>
            <w:tcW w:w="487" w:type="pct"/>
            <w:tcBorders>
              <w:top w:val="single" w:sz="4" w:space="0" w:color="auto"/>
              <w:left w:val="nil"/>
              <w:bottom w:val="nil"/>
              <w:right w:val="nil"/>
            </w:tcBorders>
            <w:vAlign w:val="center"/>
            <w:hideMark/>
          </w:tcPr>
          <w:p w14:paraId="204FF01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16.22</w:t>
            </w:r>
          </w:p>
        </w:tc>
        <w:tc>
          <w:tcPr>
            <w:tcW w:w="467" w:type="pct"/>
            <w:tcBorders>
              <w:top w:val="single" w:sz="4" w:space="0" w:color="auto"/>
              <w:left w:val="nil"/>
              <w:bottom w:val="nil"/>
              <w:right w:val="single" w:sz="4" w:space="0" w:color="auto"/>
            </w:tcBorders>
            <w:vAlign w:val="center"/>
            <w:hideMark/>
          </w:tcPr>
          <w:p w14:paraId="35BA5CC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20.04</w:t>
            </w:r>
          </w:p>
        </w:tc>
        <w:tc>
          <w:tcPr>
            <w:tcW w:w="376" w:type="pct"/>
            <w:tcBorders>
              <w:top w:val="single" w:sz="4" w:space="0" w:color="auto"/>
              <w:left w:val="single" w:sz="4" w:space="0" w:color="auto"/>
              <w:bottom w:val="nil"/>
              <w:right w:val="nil"/>
            </w:tcBorders>
            <w:vAlign w:val="center"/>
            <w:hideMark/>
          </w:tcPr>
          <w:p w14:paraId="4986F20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12.85</w:t>
            </w:r>
          </w:p>
        </w:tc>
        <w:tc>
          <w:tcPr>
            <w:tcW w:w="487" w:type="pct"/>
            <w:tcBorders>
              <w:top w:val="single" w:sz="4" w:space="0" w:color="auto"/>
              <w:left w:val="nil"/>
              <w:bottom w:val="nil"/>
              <w:right w:val="nil"/>
            </w:tcBorders>
            <w:vAlign w:val="center"/>
            <w:hideMark/>
          </w:tcPr>
          <w:p w14:paraId="58FFA9F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17.01</w:t>
            </w:r>
          </w:p>
        </w:tc>
        <w:tc>
          <w:tcPr>
            <w:tcW w:w="466" w:type="pct"/>
            <w:tcBorders>
              <w:top w:val="single" w:sz="4" w:space="0" w:color="auto"/>
              <w:left w:val="nil"/>
              <w:bottom w:val="nil"/>
              <w:right w:val="nil"/>
            </w:tcBorders>
            <w:vAlign w:val="center"/>
            <w:hideMark/>
          </w:tcPr>
          <w:p w14:paraId="6327739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20.31</w:t>
            </w:r>
          </w:p>
        </w:tc>
      </w:tr>
      <w:tr w:rsidR="006D7DCA" w:rsidRPr="006D7DCA" w14:paraId="1363D477"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2AD2257F"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nil"/>
              <w:left w:val="nil"/>
              <w:bottom w:val="single" w:sz="4" w:space="0" w:color="auto"/>
              <w:right w:val="nil"/>
            </w:tcBorders>
            <w:vAlign w:val="center"/>
            <w:hideMark/>
          </w:tcPr>
          <w:p w14:paraId="5AF5487C"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0EEAA49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7.79</w:t>
            </w:r>
          </w:p>
        </w:tc>
        <w:tc>
          <w:tcPr>
            <w:tcW w:w="486" w:type="pct"/>
            <w:tcBorders>
              <w:top w:val="nil"/>
              <w:left w:val="nil"/>
              <w:bottom w:val="single" w:sz="4" w:space="0" w:color="auto"/>
              <w:right w:val="nil"/>
            </w:tcBorders>
            <w:vAlign w:val="center"/>
            <w:hideMark/>
          </w:tcPr>
          <w:p w14:paraId="5AB95C78"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7.70</w:t>
            </w:r>
          </w:p>
        </w:tc>
        <w:tc>
          <w:tcPr>
            <w:tcW w:w="467" w:type="pct"/>
            <w:tcBorders>
              <w:top w:val="nil"/>
              <w:left w:val="nil"/>
              <w:bottom w:val="single" w:sz="4" w:space="0" w:color="auto"/>
              <w:right w:val="single" w:sz="4" w:space="0" w:color="auto"/>
            </w:tcBorders>
            <w:vAlign w:val="center"/>
            <w:hideMark/>
          </w:tcPr>
          <w:p w14:paraId="141D4E1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7.81</w:t>
            </w:r>
          </w:p>
        </w:tc>
        <w:tc>
          <w:tcPr>
            <w:tcW w:w="376" w:type="pct"/>
            <w:tcBorders>
              <w:top w:val="nil"/>
              <w:left w:val="single" w:sz="4" w:space="0" w:color="auto"/>
              <w:bottom w:val="single" w:sz="4" w:space="0" w:color="auto"/>
              <w:right w:val="nil"/>
            </w:tcBorders>
            <w:vAlign w:val="center"/>
            <w:hideMark/>
          </w:tcPr>
          <w:p w14:paraId="4349DB2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7.94</w:t>
            </w:r>
          </w:p>
        </w:tc>
        <w:tc>
          <w:tcPr>
            <w:tcW w:w="487" w:type="pct"/>
            <w:tcBorders>
              <w:top w:val="nil"/>
              <w:left w:val="nil"/>
              <w:bottom w:val="single" w:sz="4" w:space="0" w:color="auto"/>
              <w:right w:val="nil"/>
            </w:tcBorders>
            <w:vAlign w:val="center"/>
            <w:hideMark/>
          </w:tcPr>
          <w:p w14:paraId="0368C78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7.84</w:t>
            </w:r>
          </w:p>
        </w:tc>
        <w:tc>
          <w:tcPr>
            <w:tcW w:w="467" w:type="pct"/>
            <w:tcBorders>
              <w:top w:val="nil"/>
              <w:left w:val="nil"/>
              <w:bottom w:val="single" w:sz="4" w:space="0" w:color="auto"/>
              <w:right w:val="single" w:sz="4" w:space="0" w:color="auto"/>
            </w:tcBorders>
            <w:vAlign w:val="center"/>
            <w:hideMark/>
          </w:tcPr>
          <w:p w14:paraId="65BC2D0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7.35</w:t>
            </w:r>
          </w:p>
        </w:tc>
        <w:tc>
          <w:tcPr>
            <w:tcW w:w="376" w:type="pct"/>
            <w:tcBorders>
              <w:top w:val="nil"/>
              <w:left w:val="single" w:sz="4" w:space="0" w:color="auto"/>
              <w:bottom w:val="single" w:sz="4" w:space="0" w:color="auto"/>
              <w:right w:val="nil"/>
            </w:tcBorders>
            <w:vAlign w:val="center"/>
            <w:hideMark/>
          </w:tcPr>
          <w:p w14:paraId="7F1890A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8.09</w:t>
            </w:r>
          </w:p>
        </w:tc>
        <w:tc>
          <w:tcPr>
            <w:tcW w:w="487" w:type="pct"/>
            <w:tcBorders>
              <w:top w:val="nil"/>
              <w:left w:val="nil"/>
              <w:bottom w:val="single" w:sz="4" w:space="0" w:color="auto"/>
              <w:right w:val="nil"/>
            </w:tcBorders>
            <w:vAlign w:val="center"/>
            <w:hideMark/>
          </w:tcPr>
          <w:p w14:paraId="6C7337F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7.15</w:t>
            </w:r>
          </w:p>
        </w:tc>
        <w:tc>
          <w:tcPr>
            <w:tcW w:w="466" w:type="pct"/>
            <w:tcBorders>
              <w:top w:val="nil"/>
              <w:left w:val="nil"/>
              <w:bottom w:val="single" w:sz="4" w:space="0" w:color="auto"/>
              <w:right w:val="nil"/>
            </w:tcBorders>
            <w:vAlign w:val="center"/>
            <w:hideMark/>
          </w:tcPr>
          <w:p w14:paraId="1B36764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8.06</w:t>
            </w:r>
          </w:p>
        </w:tc>
      </w:tr>
      <w:tr w:rsidR="006D7DCA" w:rsidRPr="006D7DCA" w14:paraId="7B4FD4A0"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77DA90D3"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345" w:type="pct"/>
            <w:tcBorders>
              <w:top w:val="single" w:sz="4" w:space="0" w:color="auto"/>
              <w:left w:val="nil"/>
              <w:bottom w:val="single" w:sz="4" w:space="0" w:color="auto"/>
              <w:right w:val="nil"/>
            </w:tcBorders>
            <w:vAlign w:val="center"/>
            <w:hideMark/>
          </w:tcPr>
          <w:p w14:paraId="16F2E651" w14:textId="37A834CB" w:rsidR="00171BC2" w:rsidRPr="006D7DCA" w:rsidRDefault="00DE401D" w:rsidP="00171BC2">
            <w:pPr>
              <w:spacing w:after="0" w:line="256" w:lineRule="auto"/>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29" w:type="pct"/>
            <w:gridSpan w:val="3"/>
            <w:tcBorders>
              <w:top w:val="single" w:sz="4" w:space="0" w:color="auto"/>
              <w:left w:val="nil"/>
              <w:bottom w:val="single" w:sz="4" w:space="0" w:color="auto"/>
              <w:right w:val="single" w:sz="4" w:space="0" w:color="auto"/>
            </w:tcBorders>
            <w:vAlign w:val="center"/>
            <w:hideMark/>
          </w:tcPr>
          <w:p w14:paraId="7F7A680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31" w:type="pct"/>
            <w:gridSpan w:val="3"/>
            <w:tcBorders>
              <w:top w:val="single" w:sz="4" w:space="0" w:color="auto"/>
              <w:left w:val="single" w:sz="4" w:space="0" w:color="auto"/>
              <w:bottom w:val="single" w:sz="4" w:space="0" w:color="auto"/>
              <w:right w:val="single" w:sz="4" w:space="0" w:color="auto"/>
            </w:tcBorders>
            <w:vAlign w:val="center"/>
            <w:hideMark/>
          </w:tcPr>
          <w:p w14:paraId="15F67E2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29" w:type="pct"/>
            <w:gridSpan w:val="3"/>
            <w:tcBorders>
              <w:top w:val="single" w:sz="4" w:space="0" w:color="auto"/>
              <w:left w:val="single" w:sz="4" w:space="0" w:color="auto"/>
              <w:bottom w:val="single" w:sz="4" w:space="0" w:color="auto"/>
              <w:right w:val="nil"/>
            </w:tcBorders>
            <w:vAlign w:val="center"/>
            <w:hideMark/>
          </w:tcPr>
          <w:p w14:paraId="2C52B0A8"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bl>
    <w:p w14:paraId="409CF5C9" w14:textId="14C4A21B" w:rsidR="00171BC2" w:rsidRPr="006D7DCA" w:rsidRDefault="005C5BFE" w:rsidP="00171BC2">
      <w:pPr>
        <w:spacing w:before="240"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 xml:space="preserve">La Tabla </w:t>
      </w:r>
      <w:r w:rsidR="00166475" w:rsidRPr="006D7DCA">
        <w:rPr>
          <w:rFonts w:ascii="Times New Roman" w:eastAsia="Calibri" w:hAnsi="Times New Roman" w:cs="Times New Roman"/>
          <w:sz w:val="22"/>
          <w:szCs w:val="22"/>
        </w:rPr>
        <w:t>4</w:t>
      </w:r>
      <w:r w:rsidRPr="006D7DCA">
        <w:rPr>
          <w:rFonts w:ascii="Times New Roman" w:eastAsia="Calibri" w:hAnsi="Times New Roman" w:cs="Times New Roman"/>
          <w:sz w:val="22"/>
          <w:szCs w:val="22"/>
        </w:rPr>
        <w:t xml:space="preserve"> presenta las conductas de afrontamiento y los niveles de procrastinación del estudiantado universitario según sus niveles de estrés, ansiedad y depresión. </w:t>
      </w:r>
      <w:r w:rsidR="00353328" w:rsidRPr="006D7DCA">
        <w:rPr>
          <w:rFonts w:ascii="Times New Roman" w:eastAsia="Calibri" w:hAnsi="Times New Roman" w:cs="Times New Roman"/>
          <w:sz w:val="22"/>
          <w:szCs w:val="22"/>
        </w:rPr>
        <w:t>El estudiantado con niveles severos o extremadamente severos de estas condiciones presentó puntuaciones más bajas en las estrategias de afrontamiento de reevaluación positiva, búsqueda de apoyo y planificación. En cambio, este mismo grupo presentó puntuaciones más elevadas en procrastinación académica.</w:t>
      </w:r>
    </w:p>
    <w:p w14:paraId="608DFD01" w14:textId="446D583A" w:rsidR="00171BC2" w:rsidRPr="006D7DCA" w:rsidRDefault="00171BC2" w:rsidP="00171BC2">
      <w:pPr>
        <w:spacing w:line="256" w:lineRule="auto"/>
        <w:rPr>
          <w:rFonts w:ascii="Times New Roman" w:eastAsia="Calibri" w:hAnsi="Times New Roman" w:cs="Times New Roman"/>
          <w:sz w:val="22"/>
          <w:szCs w:val="22"/>
        </w:rPr>
      </w:pPr>
      <w:r w:rsidRPr="006D7DCA">
        <w:rPr>
          <w:rFonts w:ascii="Times New Roman" w:eastAsia="Calibri" w:hAnsi="Times New Roman" w:cs="Times New Roman"/>
          <w:b/>
          <w:bCs/>
          <w:sz w:val="22"/>
          <w:szCs w:val="22"/>
        </w:rPr>
        <w:t xml:space="preserve">Tabla </w:t>
      </w:r>
      <w:r w:rsidR="00166475" w:rsidRPr="006D7DCA">
        <w:rPr>
          <w:rFonts w:ascii="Times New Roman" w:eastAsia="Calibri" w:hAnsi="Times New Roman" w:cs="Times New Roman"/>
          <w:b/>
          <w:bCs/>
          <w:sz w:val="22"/>
          <w:szCs w:val="22"/>
        </w:rPr>
        <w:t>4</w:t>
      </w:r>
      <w:r w:rsidRPr="006D7DCA">
        <w:rPr>
          <w:rFonts w:ascii="Times New Roman" w:eastAsia="Calibri" w:hAnsi="Times New Roman" w:cs="Times New Roman"/>
          <w:b/>
          <w:bCs/>
          <w:sz w:val="22"/>
          <w:szCs w:val="22"/>
        </w:rPr>
        <w:t>.</w:t>
      </w:r>
      <w:r w:rsidRPr="006D7DCA">
        <w:rPr>
          <w:rFonts w:ascii="Calibri" w:eastAsia="Calibri" w:hAnsi="Calibri" w:cs="Times New Roman"/>
          <w:sz w:val="22"/>
          <w:szCs w:val="22"/>
        </w:rPr>
        <w:t xml:space="preserve"> </w:t>
      </w:r>
      <w:r w:rsidR="005C5BFE" w:rsidRPr="006D7DCA">
        <w:rPr>
          <w:rFonts w:ascii="Times New Roman" w:eastAsia="Calibri" w:hAnsi="Times New Roman" w:cs="Times New Roman"/>
          <w:i/>
          <w:iCs/>
          <w:sz w:val="22"/>
          <w:szCs w:val="22"/>
        </w:rPr>
        <w:t>Conductas de afrontamiento y procrastinación en función de los niveles de estrés, ansiedad y depresión del estudiantado universitario.</w:t>
      </w:r>
    </w:p>
    <w:tbl>
      <w:tblPr>
        <w:tblW w:w="5000" w:type="pct"/>
        <w:jc w:val="center"/>
        <w:tblBorders>
          <w:top w:val="single" w:sz="4" w:space="0" w:color="auto"/>
          <w:bottom w:val="single" w:sz="4" w:space="0" w:color="auto"/>
        </w:tblBorders>
        <w:tblCellMar>
          <w:left w:w="57" w:type="dxa"/>
          <w:right w:w="57" w:type="dxa"/>
        </w:tblCellMar>
        <w:tblLook w:val="04A0" w:firstRow="1" w:lastRow="0" w:firstColumn="1" w:lastColumn="0" w:noHBand="0" w:noVBand="1"/>
      </w:tblPr>
      <w:tblGrid>
        <w:gridCol w:w="1133"/>
        <w:gridCol w:w="726"/>
        <w:gridCol w:w="640"/>
        <w:gridCol w:w="810"/>
        <w:gridCol w:w="764"/>
        <w:gridCol w:w="640"/>
        <w:gridCol w:w="810"/>
        <w:gridCol w:w="765"/>
        <w:gridCol w:w="640"/>
        <w:gridCol w:w="811"/>
        <w:gridCol w:w="765"/>
      </w:tblGrid>
      <w:tr w:rsidR="006D7DCA" w:rsidRPr="006D7DCA" w14:paraId="4569952A" w14:textId="77777777" w:rsidTr="00DE401D">
        <w:trPr>
          <w:trHeight w:val="468"/>
          <w:jc w:val="center"/>
        </w:trPr>
        <w:tc>
          <w:tcPr>
            <w:tcW w:w="667" w:type="pct"/>
            <w:tcBorders>
              <w:top w:val="single" w:sz="4" w:space="0" w:color="auto"/>
              <w:left w:val="nil"/>
              <w:bottom w:val="nil"/>
              <w:right w:val="nil"/>
            </w:tcBorders>
            <w:vAlign w:val="center"/>
          </w:tcPr>
          <w:p w14:paraId="422FF92A" w14:textId="77777777" w:rsidR="001A3829" w:rsidRPr="006D7DCA" w:rsidRDefault="001A3829" w:rsidP="001A3829">
            <w:pPr>
              <w:spacing w:after="0" w:line="256" w:lineRule="auto"/>
              <w:rPr>
                <w:rFonts w:ascii="Times New Roman" w:eastAsia="Calibri" w:hAnsi="Times New Roman" w:cs="Times New Roman"/>
                <w:sz w:val="16"/>
                <w:szCs w:val="16"/>
              </w:rPr>
            </w:pPr>
          </w:p>
        </w:tc>
        <w:tc>
          <w:tcPr>
            <w:tcW w:w="427" w:type="pct"/>
            <w:tcBorders>
              <w:top w:val="single" w:sz="4" w:space="0" w:color="auto"/>
              <w:left w:val="nil"/>
              <w:bottom w:val="nil"/>
              <w:right w:val="nil"/>
            </w:tcBorders>
            <w:vAlign w:val="center"/>
          </w:tcPr>
          <w:p w14:paraId="45768604" w14:textId="77777777" w:rsidR="001A3829" w:rsidRPr="006D7DCA" w:rsidRDefault="001A3829" w:rsidP="001A3829">
            <w:pPr>
              <w:spacing w:after="0" w:line="256" w:lineRule="auto"/>
              <w:jc w:val="center"/>
              <w:rPr>
                <w:rFonts w:ascii="Times New Roman" w:eastAsia="Calibri" w:hAnsi="Times New Roman" w:cs="Times New Roman"/>
                <w:sz w:val="16"/>
                <w:szCs w:val="16"/>
              </w:rPr>
            </w:pPr>
          </w:p>
        </w:tc>
        <w:tc>
          <w:tcPr>
            <w:tcW w:w="1301" w:type="pct"/>
            <w:gridSpan w:val="3"/>
            <w:tcBorders>
              <w:top w:val="single" w:sz="4" w:space="0" w:color="auto"/>
              <w:left w:val="nil"/>
              <w:bottom w:val="single" w:sz="4" w:space="0" w:color="auto"/>
              <w:right w:val="nil"/>
            </w:tcBorders>
            <w:vAlign w:val="center"/>
            <w:hideMark/>
          </w:tcPr>
          <w:p w14:paraId="6F002569" w14:textId="16F8DA4C"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Estrés</w:t>
            </w:r>
          </w:p>
        </w:tc>
        <w:tc>
          <w:tcPr>
            <w:tcW w:w="1302" w:type="pct"/>
            <w:gridSpan w:val="3"/>
            <w:tcBorders>
              <w:top w:val="single" w:sz="4" w:space="0" w:color="auto"/>
              <w:left w:val="nil"/>
              <w:bottom w:val="single" w:sz="4" w:space="0" w:color="auto"/>
              <w:right w:val="nil"/>
            </w:tcBorders>
            <w:vAlign w:val="center"/>
            <w:hideMark/>
          </w:tcPr>
          <w:p w14:paraId="73A824CD" w14:textId="70B789D5"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Ansiedad</w:t>
            </w:r>
          </w:p>
        </w:tc>
        <w:tc>
          <w:tcPr>
            <w:tcW w:w="1303" w:type="pct"/>
            <w:gridSpan w:val="3"/>
            <w:tcBorders>
              <w:top w:val="single" w:sz="4" w:space="0" w:color="auto"/>
              <w:left w:val="nil"/>
              <w:bottom w:val="single" w:sz="4" w:space="0" w:color="auto"/>
              <w:right w:val="nil"/>
            </w:tcBorders>
            <w:vAlign w:val="center"/>
            <w:hideMark/>
          </w:tcPr>
          <w:p w14:paraId="1498CFD3" w14:textId="58ED0009"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Depresión</w:t>
            </w:r>
          </w:p>
        </w:tc>
      </w:tr>
      <w:tr w:rsidR="006D7DCA" w:rsidRPr="006D7DCA" w14:paraId="6B92C9BE" w14:textId="77777777" w:rsidTr="00DE401D">
        <w:trPr>
          <w:trHeight w:val="520"/>
          <w:jc w:val="center"/>
        </w:trPr>
        <w:tc>
          <w:tcPr>
            <w:tcW w:w="667" w:type="pct"/>
            <w:tcBorders>
              <w:top w:val="nil"/>
              <w:left w:val="nil"/>
              <w:bottom w:val="single" w:sz="4" w:space="0" w:color="auto"/>
              <w:right w:val="nil"/>
            </w:tcBorders>
            <w:vAlign w:val="center"/>
          </w:tcPr>
          <w:p w14:paraId="7E8C38FB" w14:textId="77777777"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27" w:type="pct"/>
            <w:tcBorders>
              <w:top w:val="nil"/>
              <w:left w:val="nil"/>
              <w:bottom w:val="single" w:sz="4" w:space="0" w:color="auto"/>
              <w:right w:val="nil"/>
            </w:tcBorders>
            <w:vAlign w:val="center"/>
          </w:tcPr>
          <w:p w14:paraId="6472F562" w14:textId="77777777"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76" w:type="pct"/>
            <w:tcBorders>
              <w:top w:val="single" w:sz="4" w:space="0" w:color="auto"/>
              <w:left w:val="nil"/>
              <w:bottom w:val="single" w:sz="4" w:space="0" w:color="auto"/>
              <w:right w:val="nil"/>
            </w:tcBorders>
            <w:vAlign w:val="center"/>
            <w:hideMark/>
          </w:tcPr>
          <w:p w14:paraId="52038F61"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Normal</w:t>
            </w:r>
          </w:p>
          <w:p w14:paraId="17212E7A" w14:textId="480DAFA7"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76" w:type="pct"/>
            <w:tcBorders>
              <w:top w:val="single" w:sz="4" w:space="0" w:color="auto"/>
              <w:left w:val="nil"/>
              <w:bottom w:val="single" w:sz="4" w:space="0" w:color="auto"/>
              <w:right w:val="nil"/>
            </w:tcBorders>
            <w:vAlign w:val="center"/>
            <w:hideMark/>
          </w:tcPr>
          <w:p w14:paraId="6DA05939"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Leve/ moderado</w:t>
            </w:r>
          </w:p>
          <w:p w14:paraId="0C15C9BA" w14:textId="5270924A"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49" w:type="pct"/>
            <w:tcBorders>
              <w:top w:val="single" w:sz="4" w:space="0" w:color="auto"/>
              <w:left w:val="nil"/>
              <w:bottom w:val="single" w:sz="4" w:space="0" w:color="auto"/>
              <w:right w:val="single" w:sz="4" w:space="0" w:color="auto"/>
            </w:tcBorders>
            <w:vAlign w:val="center"/>
            <w:hideMark/>
          </w:tcPr>
          <w:p w14:paraId="3B8BC982"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Severo/ </w:t>
            </w:r>
          </w:p>
          <w:p w14:paraId="7CBE45FB"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Ex. severo</w:t>
            </w:r>
          </w:p>
          <w:p w14:paraId="0B42B1D3" w14:textId="45FD6D7D"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76" w:type="pct"/>
            <w:tcBorders>
              <w:top w:val="single" w:sz="4" w:space="0" w:color="auto"/>
              <w:left w:val="single" w:sz="4" w:space="0" w:color="auto"/>
              <w:bottom w:val="single" w:sz="4" w:space="0" w:color="auto"/>
              <w:right w:val="nil"/>
            </w:tcBorders>
            <w:vAlign w:val="center"/>
            <w:hideMark/>
          </w:tcPr>
          <w:p w14:paraId="5D0AB169"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Normal</w:t>
            </w:r>
          </w:p>
          <w:p w14:paraId="30DD4C9C" w14:textId="074EF159"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76" w:type="pct"/>
            <w:tcBorders>
              <w:top w:val="single" w:sz="4" w:space="0" w:color="auto"/>
              <w:left w:val="nil"/>
              <w:bottom w:val="single" w:sz="4" w:space="0" w:color="auto"/>
              <w:right w:val="nil"/>
            </w:tcBorders>
            <w:vAlign w:val="center"/>
            <w:hideMark/>
          </w:tcPr>
          <w:p w14:paraId="7E44FCC1"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Leve/ moderado</w:t>
            </w:r>
          </w:p>
          <w:p w14:paraId="4A5AB5EB" w14:textId="23330825"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50" w:type="pct"/>
            <w:tcBorders>
              <w:top w:val="single" w:sz="4" w:space="0" w:color="auto"/>
              <w:left w:val="nil"/>
              <w:bottom w:val="single" w:sz="4" w:space="0" w:color="auto"/>
              <w:right w:val="single" w:sz="4" w:space="0" w:color="auto"/>
            </w:tcBorders>
            <w:vAlign w:val="center"/>
            <w:hideMark/>
          </w:tcPr>
          <w:p w14:paraId="37A182BB"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Severo/ </w:t>
            </w:r>
          </w:p>
          <w:p w14:paraId="4A211B45"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Ex. severo</w:t>
            </w:r>
          </w:p>
          <w:p w14:paraId="01157CDD" w14:textId="6DF8174D"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376" w:type="pct"/>
            <w:tcBorders>
              <w:top w:val="single" w:sz="4" w:space="0" w:color="auto"/>
              <w:left w:val="single" w:sz="4" w:space="0" w:color="auto"/>
              <w:bottom w:val="single" w:sz="4" w:space="0" w:color="auto"/>
              <w:right w:val="nil"/>
            </w:tcBorders>
            <w:vAlign w:val="center"/>
            <w:hideMark/>
          </w:tcPr>
          <w:p w14:paraId="55D83404"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Normal</w:t>
            </w:r>
          </w:p>
          <w:p w14:paraId="01E357A8" w14:textId="3CA9F5DC"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77" w:type="pct"/>
            <w:tcBorders>
              <w:top w:val="single" w:sz="4" w:space="0" w:color="auto"/>
              <w:left w:val="nil"/>
              <w:bottom w:val="single" w:sz="4" w:space="0" w:color="auto"/>
              <w:right w:val="nil"/>
            </w:tcBorders>
            <w:vAlign w:val="center"/>
            <w:hideMark/>
          </w:tcPr>
          <w:p w14:paraId="62507017"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Leve/ moderado</w:t>
            </w:r>
          </w:p>
          <w:p w14:paraId="51491E12" w14:textId="2E2474A4" w:rsidR="00166475" w:rsidRPr="006D7DCA" w:rsidRDefault="00166475" w:rsidP="00166475">
            <w:pPr>
              <w:spacing w:after="0" w:line="256" w:lineRule="auto"/>
              <w:jc w:val="center"/>
              <w:rPr>
                <w:rFonts w:ascii="Times New Roman" w:eastAsia="Calibri" w:hAnsi="Times New Roman" w:cs="Times New Roman"/>
                <w:sz w:val="16"/>
                <w:szCs w:val="16"/>
              </w:rPr>
            </w:pPr>
          </w:p>
        </w:tc>
        <w:tc>
          <w:tcPr>
            <w:tcW w:w="450" w:type="pct"/>
            <w:tcBorders>
              <w:top w:val="single" w:sz="4" w:space="0" w:color="auto"/>
              <w:left w:val="nil"/>
              <w:bottom w:val="single" w:sz="4" w:space="0" w:color="auto"/>
              <w:right w:val="nil"/>
            </w:tcBorders>
            <w:vAlign w:val="center"/>
            <w:hideMark/>
          </w:tcPr>
          <w:p w14:paraId="42E91F1C"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Severo/ </w:t>
            </w:r>
          </w:p>
          <w:p w14:paraId="045B5F93" w14:textId="77777777" w:rsidR="00166475" w:rsidRPr="006D7DCA" w:rsidRDefault="00166475" w:rsidP="00166475">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Ex. severo</w:t>
            </w:r>
          </w:p>
          <w:p w14:paraId="6F214CF8" w14:textId="36B36135" w:rsidR="00166475" w:rsidRPr="006D7DCA" w:rsidRDefault="00166475" w:rsidP="00166475">
            <w:pPr>
              <w:spacing w:after="0" w:line="256" w:lineRule="auto"/>
              <w:jc w:val="center"/>
              <w:rPr>
                <w:rFonts w:ascii="Times New Roman" w:eastAsia="Calibri" w:hAnsi="Times New Roman" w:cs="Times New Roman"/>
                <w:sz w:val="16"/>
                <w:szCs w:val="16"/>
              </w:rPr>
            </w:pPr>
          </w:p>
        </w:tc>
      </w:tr>
      <w:tr w:rsidR="006D7DCA" w:rsidRPr="006D7DCA" w14:paraId="656CE2C2" w14:textId="77777777" w:rsidTr="00DE401D">
        <w:trPr>
          <w:trHeight w:val="520"/>
          <w:jc w:val="center"/>
        </w:trPr>
        <w:tc>
          <w:tcPr>
            <w:tcW w:w="667" w:type="pct"/>
            <w:tcBorders>
              <w:top w:val="single" w:sz="4" w:space="0" w:color="auto"/>
              <w:left w:val="nil"/>
              <w:bottom w:val="single" w:sz="4" w:space="0" w:color="auto"/>
              <w:right w:val="nil"/>
            </w:tcBorders>
            <w:vAlign w:val="center"/>
          </w:tcPr>
          <w:p w14:paraId="44BC39DF" w14:textId="77777777" w:rsidR="001A3829" w:rsidRPr="006D7DCA" w:rsidRDefault="001A3829" w:rsidP="001A3829">
            <w:pPr>
              <w:spacing w:after="0" w:line="256" w:lineRule="auto"/>
              <w:jc w:val="center"/>
              <w:rPr>
                <w:rFonts w:ascii="Times New Roman" w:eastAsia="Calibri" w:hAnsi="Times New Roman" w:cs="Times New Roman"/>
                <w:sz w:val="16"/>
                <w:szCs w:val="16"/>
              </w:rPr>
            </w:pPr>
          </w:p>
        </w:tc>
        <w:tc>
          <w:tcPr>
            <w:tcW w:w="427" w:type="pct"/>
            <w:tcBorders>
              <w:top w:val="single" w:sz="4" w:space="0" w:color="auto"/>
              <w:left w:val="nil"/>
              <w:bottom w:val="single" w:sz="4" w:space="0" w:color="auto"/>
              <w:right w:val="nil"/>
            </w:tcBorders>
            <w:vAlign w:val="center"/>
          </w:tcPr>
          <w:p w14:paraId="0404E8FF" w14:textId="77777777" w:rsidR="001A3829" w:rsidRPr="006D7DCA" w:rsidRDefault="001A3829" w:rsidP="001A3829">
            <w:pPr>
              <w:spacing w:after="0" w:line="256" w:lineRule="auto"/>
              <w:jc w:val="center"/>
              <w:rPr>
                <w:rFonts w:ascii="Times New Roman" w:eastAsia="Calibri" w:hAnsi="Times New Roman" w:cs="Times New Roman"/>
                <w:sz w:val="16"/>
                <w:szCs w:val="16"/>
              </w:rPr>
            </w:pPr>
          </w:p>
        </w:tc>
        <w:tc>
          <w:tcPr>
            <w:tcW w:w="376" w:type="pct"/>
            <w:tcBorders>
              <w:top w:val="single" w:sz="4" w:space="0" w:color="auto"/>
              <w:left w:val="nil"/>
              <w:bottom w:val="single" w:sz="4" w:space="0" w:color="auto"/>
              <w:right w:val="nil"/>
            </w:tcBorders>
            <w:vAlign w:val="center"/>
          </w:tcPr>
          <w:p w14:paraId="4B6B2EF7" w14:textId="469F04A0"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N=1507</w:t>
            </w:r>
          </w:p>
        </w:tc>
        <w:tc>
          <w:tcPr>
            <w:tcW w:w="476" w:type="pct"/>
            <w:tcBorders>
              <w:top w:val="single" w:sz="4" w:space="0" w:color="auto"/>
              <w:left w:val="nil"/>
              <w:bottom w:val="single" w:sz="4" w:space="0" w:color="auto"/>
              <w:right w:val="nil"/>
            </w:tcBorders>
            <w:vAlign w:val="center"/>
          </w:tcPr>
          <w:p w14:paraId="69F599A3" w14:textId="5D814D22"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N=488</w:t>
            </w:r>
          </w:p>
        </w:tc>
        <w:tc>
          <w:tcPr>
            <w:tcW w:w="449" w:type="pct"/>
            <w:tcBorders>
              <w:top w:val="single" w:sz="4" w:space="0" w:color="auto"/>
              <w:left w:val="nil"/>
              <w:bottom w:val="single" w:sz="4" w:space="0" w:color="auto"/>
              <w:right w:val="single" w:sz="4" w:space="0" w:color="auto"/>
            </w:tcBorders>
            <w:vAlign w:val="center"/>
          </w:tcPr>
          <w:p w14:paraId="0E13EF3D" w14:textId="4478F77B"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N=209</w:t>
            </w:r>
          </w:p>
        </w:tc>
        <w:tc>
          <w:tcPr>
            <w:tcW w:w="376" w:type="pct"/>
            <w:tcBorders>
              <w:top w:val="single" w:sz="4" w:space="0" w:color="auto"/>
              <w:left w:val="single" w:sz="4" w:space="0" w:color="auto"/>
              <w:bottom w:val="single" w:sz="4" w:space="0" w:color="auto"/>
              <w:right w:val="nil"/>
            </w:tcBorders>
            <w:vAlign w:val="center"/>
          </w:tcPr>
          <w:p w14:paraId="2DCDB5A7" w14:textId="6FBAF343"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N=1492</w:t>
            </w:r>
          </w:p>
        </w:tc>
        <w:tc>
          <w:tcPr>
            <w:tcW w:w="476" w:type="pct"/>
            <w:tcBorders>
              <w:top w:val="single" w:sz="4" w:space="0" w:color="auto"/>
              <w:left w:val="nil"/>
              <w:bottom w:val="single" w:sz="4" w:space="0" w:color="auto"/>
              <w:right w:val="nil"/>
            </w:tcBorders>
            <w:vAlign w:val="center"/>
          </w:tcPr>
          <w:p w14:paraId="47BE8DE0" w14:textId="7213396A"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N=456</w:t>
            </w:r>
          </w:p>
        </w:tc>
        <w:tc>
          <w:tcPr>
            <w:tcW w:w="450" w:type="pct"/>
            <w:tcBorders>
              <w:top w:val="single" w:sz="4" w:space="0" w:color="auto"/>
              <w:left w:val="nil"/>
              <w:bottom w:val="single" w:sz="4" w:space="0" w:color="auto"/>
              <w:right w:val="single" w:sz="4" w:space="0" w:color="auto"/>
            </w:tcBorders>
            <w:vAlign w:val="center"/>
          </w:tcPr>
          <w:p w14:paraId="7455ABC7" w14:textId="668E7CE2"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N=256</w:t>
            </w:r>
          </w:p>
        </w:tc>
        <w:tc>
          <w:tcPr>
            <w:tcW w:w="376" w:type="pct"/>
            <w:tcBorders>
              <w:top w:val="single" w:sz="4" w:space="0" w:color="auto"/>
              <w:left w:val="single" w:sz="4" w:space="0" w:color="auto"/>
              <w:bottom w:val="single" w:sz="4" w:space="0" w:color="auto"/>
              <w:right w:val="nil"/>
            </w:tcBorders>
            <w:vAlign w:val="center"/>
          </w:tcPr>
          <w:p w14:paraId="15ABF698" w14:textId="0359E12B"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N=1604</w:t>
            </w:r>
          </w:p>
        </w:tc>
        <w:tc>
          <w:tcPr>
            <w:tcW w:w="477" w:type="pct"/>
            <w:tcBorders>
              <w:top w:val="single" w:sz="4" w:space="0" w:color="auto"/>
              <w:left w:val="nil"/>
              <w:bottom w:val="single" w:sz="4" w:space="0" w:color="auto"/>
              <w:right w:val="nil"/>
            </w:tcBorders>
            <w:vAlign w:val="center"/>
          </w:tcPr>
          <w:p w14:paraId="011FDE18" w14:textId="2A1FD3CA"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N=438</w:t>
            </w:r>
          </w:p>
        </w:tc>
        <w:tc>
          <w:tcPr>
            <w:tcW w:w="450" w:type="pct"/>
            <w:tcBorders>
              <w:top w:val="single" w:sz="4" w:space="0" w:color="auto"/>
              <w:left w:val="nil"/>
              <w:bottom w:val="single" w:sz="4" w:space="0" w:color="auto"/>
              <w:right w:val="nil"/>
            </w:tcBorders>
            <w:vAlign w:val="center"/>
          </w:tcPr>
          <w:p w14:paraId="3E97ED06" w14:textId="220CA375" w:rsidR="001A3829" w:rsidRPr="006D7DCA" w:rsidRDefault="001A3829" w:rsidP="001A3829">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N=162</w:t>
            </w:r>
          </w:p>
        </w:tc>
      </w:tr>
      <w:tr w:rsidR="006D7DCA" w:rsidRPr="006D7DCA" w14:paraId="50F702CA" w14:textId="77777777" w:rsidTr="00DE401D">
        <w:trPr>
          <w:trHeight w:hRule="exact" w:val="340"/>
          <w:jc w:val="center"/>
        </w:trPr>
        <w:tc>
          <w:tcPr>
            <w:tcW w:w="667" w:type="pct"/>
            <w:vMerge w:val="restart"/>
            <w:tcBorders>
              <w:top w:val="single" w:sz="4" w:space="0" w:color="auto"/>
              <w:left w:val="nil"/>
              <w:bottom w:val="nil"/>
              <w:right w:val="nil"/>
            </w:tcBorders>
            <w:vAlign w:val="center"/>
            <w:hideMark/>
          </w:tcPr>
          <w:p w14:paraId="79525D67"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Afrontamiento. Reevaluación positiva</w:t>
            </w:r>
          </w:p>
        </w:tc>
        <w:tc>
          <w:tcPr>
            <w:tcW w:w="427" w:type="pct"/>
            <w:tcBorders>
              <w:top w:val="single" w:sz="4" w:space="0" w:color="auto"/>
              <w:left w:val="nil"/>
              <w:bottom w:val="nil"/>
              <w:right w:val="nil"/>
            </w:tcBorders>
            <w:vAlign w:val="center"/>
            <w:hideMark/>
          </w:tcPr>
          <w:p w14:paraId="67D6417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219A2E4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29.20</w:t>
            </w:r>
          </w:p>
        </w:tc>
        <w:tc>
          <w:tcPr>
            <w:tcW w:w="476" w:type="pct"/>
            <w:tcBorders>
              <w:top w:val="single" w:sz="4" w:space="0" w:color="auto"/>
              <w:left w:val="nil"/>
              <w:bottom w:val="nil"/>
              <w:right w:val="nil"/>
            </w:tcBorders>
            <w:vAlign w:val="center"/>
            <w:hideMark/>
          </w:tcPr>
          <w:p w14:paraId="32ED13A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25.36</w:t>
            </w:r>
          </w:p>
        </w:tc>
        <w:tc>
          <w:tcPr>
            <w:tcW w:w="449" w:type="pct"/>
            <w:tcBorders>
              <w:top w:val="single" w:sz="4" w:space="0" w:color="auto"/>
              <w:left w:val="nil"/>
              <w:bottom w:val="nil"/>
              <w:right w:val="single" w:sz="4" w:space="0" w:color="auto"/>
            </w:tcBorders>
            <w:vAlign w:val="center"/>
            <w:hideMark/>
          </w:tcPr>
          <w:p w14:paraId="4C18F08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23.58</w:t>
            </w:r>
          </w:p>
        </w:tc>
        <w:tc>
          <w:tcPr>
            <w:tcW w:w="376" w:type="pct"/>
            <w:tcBorders>
              <w:top w:val="single" w:sz="4" w:space="0" w:color="auto"/>
              <w:left w:val="single" w:sz="4" w:space="0" w:color="auto"/>
              <w:bottom w:val="nil"/>
              <w:right w:val="nil"/>
            </w:tcBorders>
            <w:vAlign w:val="center"/>
            <w:hideMark/>
          </w:tcPr>
          <w:p w14:paraId="73D0173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29.02</w:t>
            </w:r>
          </w:p>
        </w:tc>
        <w:tc>
          <w:tcPr>
            <w:tcW w:w="476" w:type="pct"/>
            <w:tcBorders>
              <w:top w:val="single" w:sz="4" w:space="0" w:color="auto"/>
              <w:left w:val="nil"/>
              <w:bottom w:val="nil"/>
              <w:right w:val="nil"/>
            </w:tcBorders>
            <w:vAlign w:val="center"/>
            <w:hideMark/>
          </w:tcPr>
          <w:p w14:paraId="1118D28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25.98</w:t>
            </w:r>
          </w:p>
        </w:tc>
        <w:tc>
          <w:tcPr>
            <w:tcW w:w="450" w:type="pct"/>
            <w:tcBorders>
              <w:top w:val="single" w:sz="4" w:space="0" w:color="auto"/>
              <w:left w:val="nil"/>
              <w:bottom w:val="nil"/>
              <w:right w:val="single" w:sz="4" w:space="0" w:color="auto"/>
            </w:tcBorders>
            <w:vAlign w:val="center"/>
            <w:hideMark/>
          </w:tcPr>
          <w:p w14:paraId="005194F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24.08</w:t>
            </w:r>
          </w:p>
        </w:tc>
        <w:tc>
          <w:tcPr>
            <w:tcW w:w="376" w:type="pct"/>
            <w:tcBorders>
              <w:top w:val="single" w:sz="4" w:space="0" w:color="auto"/>
              <w:left w:val="single" w:sz="4" w:space="0" w:color="auto"/>
              <w:bottom w:val="nil"/>
              <w:right w:val="nil"/>
            </w:tcBorders>
            <w:vAlign w:val="center"/>
            <w:hideMark/>
          </w:tcPr>
          <w:p w14:paraId="54CD386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29.19</w:t>
            </w:r>
          </w:p>
        </w:tc>
        <w:tc>
          <w:tcPr>
            <w:tcW w:w="477" w:type="pct"/>
            <w:tcBorders>
              <w:top w:val="single" w:sz="4" w:space="0" w:color="auto"/>
              <w:left w:val="nil"/>
              <w:bottom w:val="nil"/>
              <w:right w:val="nil"/>
            </w:tcBorders>
            <w:vAlign w:val="center"/>
            <w:hideMark/>
          </w:tcPr>
          <w:p w14:paraId="5FF98B6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24.61</w:t>
            </w:r>
          </w:p>
        </w:tc>
        <w:tc>
          <w:tcPr>
            <w:tcW w:w="450" w:type="pct"/>
            <w:tcBorders>
              <w:top w:val="single" w:sz="4" w:space="0" w:color="auto"/>
              <w:left w:val="nil"/>
              <w:bottom w:val="nil"/>
              <w:right w:val="nil"/>
            </w:tcBorders>
            <w:vAlign w:val="center"/>
            <w:hideMark/>
          </w:tcPr>
          <w:p w14:paraId="0364E6C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22.86</w:t>
            </w:r>
          </w:p>
        </w:tc>
      </w:tr>
      <w:tr w:rsidR="006D7DCA" w:rsidRPr="006D7DCA" w14:paraId="3510B72E" w14:textId="77777777" w:rsidTr="00DE401D">
        <w:trPr>
          <w:trHeight w:hRule="exact" w:val="340"/>
          <w:jc w:val="center"/>
        </w:trPr>
        <w:tc>
          <w:tcPr>
            <w:tcW w:w="667" w:type="pct"/>
            <w:vMerge/>
            <w:tcBorders>
              <w:top w:val="single" w:sz="4" w:space="0" w:color="auto"/>
              <w:left w:val="nil"/>
              <w:bottom w:val="nil"/>
              <w:right w:val="nil"/>
            </w:tcBorders>
            <w:vAlign w:val="center"/>
            <w:hideMark/>
          </w:tcPr>
          <w:p w14:paraId="2F32E1B1"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427" w:type="pct"/>
            <w:tcBorders>
              <w:top w:val="nil"/>
              <w:left w:val="nil"/>
              <w:bottom w:val="single" w:sz="4" w:space="0" w:color="auto"/>
              <w:right w:val="nil"/>
            </w:tcBorders>
            <w:vAlign w:val="center"/>
            <w:hideMark/>
          </w:tcPr>
          <w:p w14:paraId="4E0902C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4ABBED4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7.51</w:t>
            </w:r>
          </w:p>
        </w:tc>
        <w:tc>
          <w:tcPr>
            <w:tcW w:w="476" w:type="pct"/>
            <w:tcBorders>
              <w:top w:val="nil"/>
              <w:left w:val="nil"/>
              <w:bottom w:val="single" w:sz="4" w:space="0" w:color="auto"/>
              <w:right w:val="nil"/>
            </w:tcBorders>
            <w:vAlign w:val="center"/>
            <w:hideMark/>
          </w:tcPr>
          <w:p w14:paraId="268A68A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6.61</w:t>
            </w:r>
          </w:p>
        </w:tc>
        <w:tc>
          <w:tcPr>
            <w:tcW w:w="449" w:type="pct"/>
            <w:tcBorders>
              <w:top w:val="nil"/>
              <w:left w:val="nil"/>
              <w:bottom w:val="single" w:sz="4" w:space="0" w:color="auto"/>
              <w:right w:val="single" w:sz="4" w:space="0" w:color="auto"/>
            </w:tcBorders>
            <w:vAlign w:val="center"/>
            <w:hideMark/>
          </w:tcPr>
          <w:p w14:paraId="26DCA5E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7.43</w:t>
            </w:r>
          </w:p>
        </w:tc>
        <w:tc>
          <w:tcPr>
            <w:tcW w:w="376" w:type="pct"/>
            <w:tcBorders>
              <w:top w:val="nil"/>
              <w:left w:val="single" w:sz="4" w:space="0" w:color="auto"/>
              <w:bottom w:val="single" w:sz="4" w:space="0" w:color="auto"/>
              <w:right w:val="nil"/>
            </w:tcBorders>
            <w:vAlign w:val="center"/>
            <w:hideMark/>
          </w:tcPr>
          <w:p w14:paraId="79D6733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7.46</w:t>
            </w:r>
          </w:p>
        </w:tc>
        <w:tc>
          <w:tcPr>
            <w:tcW w:w="476" w:type="pct"/>
            <w:tcBorders>
              <w:top w:val="nil"/>
              <w:left w:val="nil"/>
              <w:bottom w:val="single" w:sz="4" w:space="0" w:color="auto"/>
              <w:right w:val="nil"/>
            </w:tcBorders>
            <w:vAlign w:val="center"/>
            <w:hideMark/>
          </w:tcPr>
          <w:p w14:paraId="330E604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7.37</w:t>
            </w:r>
          </w:p>
        </w:tc>
        <w:tc>
          <w:tcPr>
            <w:tcW w:w="450" w:type="pct"/>
            <w:tcBorders>
              <w:top w:val="nil"/>
              <w:left w:val="nil"/>
              <w:bottom w:val="single" w:sz="4" w:space="0" w:color="auto"/>
              <w:right w:val="single" w:sz="4" w:space="0" w:color="auto"/>
            </w:tcBorders>
            <w:vAlign w:val="center"/>
            <w:hideMark/>
          </w:tcPr>
          <w:p w14:paraId="498FEA8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6.91</w:t>
            </w:r>
          </w:p>
        </w:tc>
        <w:tc>
          <w:tcPr>
            <w:tcW w:w="376" w:type="pct"/>
            <w:tcBorders>
              <w:top w:val="nil"/>
              <w:left w:val="single" w:sz="4" w:space="0" w:color="auto"/>
              <w:bottom w:val="single" w:sz="4" w:space="0" w:color="auto"/>
              <w:right w:val="nil"/>
            </w:tcBorders>
            <w:vAlign w:val="center"/>
            <w:hideMark/>
          </w:tcPr>
          <w:p w14:paraId="3125A82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7.42</w:t>
            </w:r>
          </w:p>
        </w:tc>
        <w:tc>
          <w:tcPr>
            <w:tcW w:w="477" w:type="pct"/>
            <w:tcBorders>
              <w:top w:val="nil"/>
              <w:left w:val="nil"/>
              <w:bottom w:val="single" w:sz="4" w:space="0" w:color="auto"/>
              <w:right w:val="nil"/>
            </w:tcBorders>
            <w:vAlign w:val="center"/>
            <w:hideMark/>
          </w:tcPr>
          <w:p w14:paraId="0CB1530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6.46</w:t>
            </w:r>
          </w:p>
        </w:tc>
        <w:tc>
          <w:tcPr>
            <w:tcW w:w="450" w:type="pct"/>
            <w:tcBorders>
              <w:top w:val="nil"/>
              <w:left w:val="nil"/>
              <w:bottom w:val="single" w:sz="4" w:space="0" w:color="auto"/>
              <w:right w:val="nil"/>
            </w:tcBorders>
            <w:vAlign w:val="center"/>
            <w:hideMark/>
          </w:tcPr>
          <w:p w14:paraId="09CA6852"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7.57</w:t>
            </w:r>
          </w:p>
        </w:tc>
      </w:tr>
      <w:tr w:rsidR="006D7DCA" w:rsidRPr="006D7DCA" w14:paraId="43D46F00" w14:textId="77777777" w:rsidTr="00DE401D">
        <w:trPr>
          <w:trHeight w:hRule="exact" w:val="340"/>
          <w:jc w:val="center"/>
        </w:trPr>
        <w:tc>
          <w:tcPr>
            <w:tcW w:w="667" w:type="pct"/>
            <w:vMerge/>
            <w:tcBorders>
              <w:top w:val="single" w:sz="4" w:space="0" w:color="auto"/>
              <w:left w:val="nil"/>
              <w:bottom w:val="single" w:sz="4" w:space="0" w:color="auto"/>
              <w:right w:val="nil"/>
            </w:tcBorders>
            <w:vAlign w:val="center"/>
            <w:hideMark/>
          </w:tcPr>
          <w:p w14:paraId="5D502BB0"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427" w:type="pct"/>
            <w:tcBorders>
              <w:top w:val="single" w:sz="4" w:space="0" w:color="auto"/>
              <w:left w:val="nil"/>
              <w:bottom w:val="single" w:sz="4" w:space="0" w:color="auto"/>
              <w:right w:val="nil"/>
            </w:tcBorders>
            <w:vAlign w:val="center"/>
            <w:hideMark/>
          </w:tcPr>
          <w:p w14:paraId="67A8DFD1" w14:textId="5B37CA35" w:rsidR="00171BC2" w:rsidRPr="006D7DCA" w:rsidRDefault="00DE401D"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01" w:type="pct"/>
            <w:gridSpan w:val="3"/>
            <w:tcBorders>
              <w:top w:val="single" w:sz="4" w:space="0" w:color="auto"/>
              <w:left w:val="nil"/>
              <w:bottom w:val="single" w:sz="4" w:space="0" w:color="auto"/>
              <w:right w:val="single" w:sz="4" w:space="0" w:color="auto"/>
            </w:tcBorders>
            <w:vAlign w:val="center"/>
            <w:hideMark/>
          </w:tcPr>
          <w:p w14:paraId="549F4FC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02" w:type="pct"/>
            <w:gridSpan w:val="3"/>
            <w:tcBorders>
              <w:top w:val="single" w:sz="4" w:space="0" w:color="auto"/>
              <w:left w:val="single" w:sz="4" w:space="0" w:color="auto"/>
              <w:bottom w:val="single" w:sz="4" w:space="0" w:color="auto"/>
              <w:right w:val="single" w:sz="4" w:space="0" w:color="auto"/>
            </w:tcBorders>
            <w:vAlign w:val="center"/>
            <w:hideMark/>
          </w:tcPr>
          <w:p w14:paraId="7EC58DD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03" w:type="pct"/>
            <w:gridSpan w:val="3"/>
            <w:tcBorders>
              <w:top w:val="single" w:sz="4" w:space="0" w:color="auto"/>
              <w:left w:val="single" w:sz="4" w:space="0" w:color="auto"/>
              <w:bottom w:val="single" w:sz="4" w:space="0" w:color="auto"/>
              <w:right w:val="nil"/>
            </w:tcBorders>
            <w:vAlign w:val="center"/>
            <w:hideMark/>
          </w:tcPr>
          <w:p w14:paraId="7BDF628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49A25307" w14:textId="77777777" w:rsidTr="00DE401D">
        <w:trPr>
          <w:trHeight w:hRule="exact" w:val="340"/>
          <w:jc w:val="center"/>
        </w:trPr>
        <w:tc>
          <w:tcPr>
            <w:tcW w:w="667" w:type="pct"/>
            <w:vMerge w:val="restart"/>
            <w:tcBorders>
              <w:top w:val="single" w:sz="4" w:space="0" w:color="auto"/>
              <w:left w:val="nil"/>
              <w:bottom w:val="nil"/>
              <w:right w:val="nil"/>
            </w:tcBorders>
            <w:vAlign w:val="center"/>
            <w:hideMark/>
          </w:tcPr>
          <w:p w14:paraId="47B31A42"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Afrontamiento. Buscar apoyo</w:t>
            </w:r>
          </w:p>
        </w:tc>
        <w:tc>
          <w:tcPr>
            <w:tcW w:w="427" w:type="pct"/>
            <w:tcBorders>
              <w:top w:val="single" w:sz="4" w:space="0" w:color="auto"/>
              <w:left w:val="nil"/>
              <w:bottom w:val="nil"/>
              <w:right w:val="nil"/>
            </w:tcBorders>
            <w:vAlign w:val="center"/>
            <w:hideMark/>
          </w:tcPr>
          <w:p w14:paraId="3D0325D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3CCFE7C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22.64</w:t>
            </w:r>
          </w:p>
        </w:tc>
        <w:tc>
          <w:tcPr>
            <w:tcW w:w="476" w:type="pct"/>
            <w:tcBorders>
              <w:top w:val="single" w:sz="4" w:space="0" w:color="auto"/>
              <w:left w:val="nil"/>
              <w:bottom w:val="nil"/>
              <w:right w:val="nil"/>
            </w:tcBorders>
            <w:vAlign w:val="center"/>
            <w:hideMark/>
          </w:tcPr>
          <w:p w14:paraId="0EFC618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21.46</w:t>
            </w:r>
          </w:p>
        </w:tc>
        <w:tc>
          <w:tcPr>
            <w:tcW w:w="449" w:type="pct"/>
            <w:tcBorders>
              <w:top w:val="single" w:sz="4" w:space="0" w:color="auto"/>
              <w:left w:val="nil"/>
              <w:bottom w:val="nil"/>
              <w:right w:val="single" w:sz="4" w:space="0" w:color="auto"/>
            </w:tcBorders>
            <w:vAlign w:val="center"/>
            <w:hideMark/>
          </w:tcPr>
          <w:p w14:paraId="0335C7B8"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22.40</w:t>
            </w:r>
          </w:p>
        </w:tc>
        <w:tc>
          <w:tcPr>
            <w:tcW w:w="376" w:type="pct"/>
            <w:tcBorders>
              <w:top w:val="single" w:sz="4" w:space="0" w:color="auto"/>
              <w:left w:val="single" w:sz="4" w:space="0" w:color="auto"/>
              <w:bottom w:val="nil"/>
              <w:right w:val="nil"/>
            </w:tcBorders>
            <w:vAlign w:val="center"/>
            <w:hideMark/>
          </w:tcPr>
          <w:p w14:paraId="413B8B4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22.82</w:t>
            </w:r>
          </w:p>
        </w:tc>
        <w:tc>
          <w:tcPr>
            <w:tcW w:w="476" w:type="pct"/>
            <w:tcBorders>
              <w:top w:val="single" w:sz="4" w:space="0" w:color="auto"/>
              <w:left w:val="nil"/>
              <w:bottom w:val="nil"/>
              <w:right w:val="nil"/>
            </w:tcBorders>
            <w:vAlign w:val="center"/>
            <w:hideMark/>
          </w:tcPr>
          <w:p w14:paraId="2459F2F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21.04</w:t>
            </w:r>
          </w:p>
        </w:tc>
        <w:tc>
          <w:tcPr>
            <w:tcW w:w="450" w:type="pct"/>
            <w:tcBorders>
              <w:top w:val="single" w:sz="4" w:space="0" w:color="auto"/>
              <w:left w:val="nil"/>
              <w:bottom w:val="nil"/>
              <w:right w:val="single" w:sz="4" w:space="0" w:color="auto"/>
            </w:tcBorders>
            <w:vAlign w:val="center"/>
            <w:hideMark/>
          </w:tcPr>
          <w:p w14:paraId="29C9C61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22.00</w:t>
            </w:r>
          </w:p>
        </w:tc>
        <w:tc>
          <w:tcPr>
            <w:tcW w:w="376" w:type="pct"/>
            <w:tcBorders>
              <w:top w:val="single" w:sz="4" w:space="0" w:color="auto"/>
              <w:left w:val="single" w:sz="4" w:space="0" w:color="auto"/>
              <w:bottom w:val="nil"/>
              <w:right w:val="nil"/>
            </w:tcBorders>
            <w:vAlign w:val="center"/>
            <w:hideMark/>
          </w:tcPr>
          <w:p w14:paraId="3CC23A1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23.06</w:t>
            </w:r>
          </w:p>
        </w:tc>
        <w:tc>
          <w:tcPr>
            <w:tcW w:w="477" w:type="pct"/>
            <w:tcBorders>
              <w:top w:val="single" w:sz="4" w:space="0" w:color="auto"/>
              <w:left w:val="nil"/>
              <w:bottom w:val="nil"/>
              <w:right w:val="nil"/>
            </w:tcBorders>
            <w:vAlign w:val="center"/>
            <w:hideMark/>
          </w:tcPr>
          <w:p w14:paraId="023AC83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20.84</w:t>
            </w:r>
          </w:p>
        </w:tc>
        <w:tc>
          <w:tcPr>
            <w:tcW w:w="450" w:type="pct"/>
            <w:tcBorders>
              <w:top w:val="single" w:sz="4" w:space="0" w:color="auto"/>
              <w:left w:val="nil"/>
              <w:bottom w:val="nil"/>
              <w:right w:val="nil"/>
            </w:tcBorders>
            <w:vAlign w:val="center"/>
            <w:hideMark/>
          </w:tcPr>
          <w:p w14:paraId="241EB8C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19.46</w:t>
            </w:r>
          </w:p>
        </w:tc>
      </w:tr>
      <w:tr w:rsidR="006D7DCA" w:rsidRPr="006D7DCA" w14:paraId="64FD1D45" w14:textId="77777777" w:rsidTr="00DE401D">
        <w:trPr>
          <w:trHeight w:hRule="exact" w:val="340"/>
          <w:jc w:val="center"/>
        </w:trPr>
        <w:tc>
          <w:tcPr>
            <w:tcW w:w="667" w:type="pct"/>
            <w:vMerge/>
            <w:tcBorders>
              <w:top w:val="nil"/>
              <w:left w:val="nil"/>
              <w:bottom w:val="nil"/>
              <w:right w:val="nil"/>
            </w:tcBorders>
            <w:vAlign w:val="center"/>
            <w:hideMark/>
          </w:tcPr>
          <w:p w14:paraId="735803A3"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427" w:type="pct"/>
            <w:tcBorders>
              <w:top w:val="nil"/>
              <w:left w:val="nil"/>
              <w:bottom w:val="single" w:sz="4" w:space="0" w:color="auto"/>
              <w:right w:val="nil"/>
            </w:tcBorders>
            <w:vAlign w:val="center"/>
            <w:hideMark/>
          </w:tcPr>
          <w:p w14:paraId="12908B1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4E34A308"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6.94</w:t>
            </w:r>
          </w:p>
        </w:tc>
        <w:tc>
          <w:tcPr>
            <w:tcW w:w="476" w:type="pct"/>
            <w:tcBorders>
              <w:top w:val="nil"/>
              <w:left w:val="nil"/>
              <w:bottom w:val="single" w:sz="4" w:space="0" w:color="auto"/>
              <w:right w:val="nil"/>
            </w:tcBorders>
            <w:vAlign w:val="center"/>
            <w:hideMark/>
          </w:tcPr>
          <w:p w14:paraId="545F542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6.63</w:t>
            </w:r>
          </w:p>
        </w:tc>
        <w:tc>
          <w:tcPr>
            <w:tcW w:w="449" w:type="pct"/>
            <w:tcBorders>
              <w:top w:val="nil"/>
              <w:left w:val="nil"/>
              <w:bottom w:val="single" w:sz="4" w:space="0" w:color="auto"/>
              <w:right w:val="single" w:sz="4" w:space="0" w:color="auto"/>
            </w:tcBorders>
            <w:vAlign w:val="center"/>
            <w:hideMark/>
          </w:tcPr>
          <w:p w14:paraId="682C4BB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7.36</w:t>
            </w:r>
          </w:p>
        </w:tc>
        <w:tc>
          <w:tcPr>
            <w:tcW w:w="376" w:type="pct"/>
            <w:tcBorders>
              <w:top w:val="nil"/>
              <w:left w:val="single" w:sz="4" w:space="0" w:color="auto"/>
              <w:bottom w:val="single" w:sz="4" w:space="0" w:color="auto"/>
              <w:right w:val="nil"/>
            </w:tcBorders>
            <w:vAlign w:val="center"/>
            <w:hideMark/>
          </w:tcPr>
          <w:p w14:paraId="066256E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6.85</w:t>
            </w:r>
          </w:p>
        </w:tc>
        <w:tc>
          <w:tcPr>
            <w:tcW w:w="476" w:type="pct"/>
            <w:tcBorders>
              <w:top w:val="nil"/>
              <w:left w:val="nil"/>
              <w:bottom w:val="single" w:sz="4" w:space="0" w:color="auto"/>
              <w:right w:val="nil"/>
            </w:tcBorders>
            <w:vAlign w:val="center"/>
            <w:hideMark/>
          </w:tcPr>
          <w:p w14:paraId="05AC62B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6.99</w:t>
            </w:r>
          </w:p>
        </w:tc>
        <w:tc>
          <w:tcPr>
            <w:tcW w:w="450" w:type="pct"/>
            <w:tcBorders>
              <w:top w:val="nil"/>
              <w:left w:val="nil"/>
              <w:bottom w:val="single" w:sz="4" w:space="0" w:color="auto"/>
              <w:right w:val="single" w:sz="4" w:space="0" w:color="auto"/>
            </w:tcBorders>
            <w:vAlign w:val="center"/>
            <w:hideMark/>
          </w:tcPr>
          <w:p w14:paraId="4154B47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6.96</w:t>
            </w:r>
          </w:p>
        </w:tc>
        <w:tc>
          <w:tcPr>
            <w:tcW w:w="376" w:type="pct"/>
            <w:tcBorders>
              <w:top w:val="nil"/>
              <w:left w:val="single" w:sz="4" w:space="0" w:color="auto"/>
              <w:bottom w:val="single" w:sz="4" w:space="0" w:color="auto"/>
              <w:right w:val="nil"/>
            </w:tcBorders>
            <w:vAlign w:val="center"/>
            <w:hideMark/>
          </w:tcPr>
          <w:p w14:paraId="699B2D5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6.72</w:t>
            </w:r>
          </w:p>
        </w:tc>
        <w:tc>
          <w:tcPr>
            <w:tcW w:w="477" w:type="pct"/>
            <w:tcBorders>
              <w:top w:val="nil"/>
              <w:left w:val="nil"/>
              <w:bottom w:val="single" w:sz="4" w:space="0" w:color="auto"/>
              <w:right w:val="nil"/>
            </w:tcBorders>
            <w:vAlign w:val="center"/>
            <w:hideMark/>
          </w:tcPr>
          <w:p w14:paraId="012737B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6.90</w:t>
            </w:r>
          </w:p>
        </w:tc>
        <w:tc>
          <w:tcPr>
            <w:tcW w:w="450" w:type="pct"/>
            <w:tcBorders>
              <w:top w:val="nil"/>
              <w:left w:val="nil"/>
              <w:bottom w:val="single" w:sz="4" w:space="0" w:color="auto"/>
              <w:right w:val="nil"/>
            </w:tcBorders>
            <w:vAlign w:val="center"/>
            <w:hideMark/>
          </w:tcPr>
          <w:p w14:paraId="58919B3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7.63</w:t>
            </w:r>
          </w:p>
        </w:tc>
      </w:tr>
      <w:tr w:rsidR="006D7DCA" w:rsidRPr="006D7DCA" w14:paraId="5A9B678A" w14:textId="77777777" w:rsidTr="00DE401D">
        <w:trPr>
          <w:trHeight w:hRule="exact" w:val="340"/>
          <w:jc w:val="center"/>
        </w:trPr>
        <w:tc>
          <w:tcPr>
            <w:tcW w:w="667" w:type="pct"/>
            <w:vMerge/>
            <w:tcBorders>
              <w:top w:val="nil"/>
              <w:left w:val="nil"/>
              <w:bottom w:val="single" w:sz="4" w:space="0" w:color="auto"/>
              <w:right w:val="nil"/>
            </w:tcBorders>
            <w:vAlign w:val="center"/>
            <w:hideMark/>
          </w:tcPr>
          <w:p w14:paraId="5D58C884"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427" w:type="pct"/>
            <w:tcBorders>
              <w:top w:val="single" w:sz="4" w:space="0" w:color="auto"/>
              <w:left w:val="nil"/>
              <w:bottom w:val="single" w:sz="4" w:space="0" w:color="auto"/>
              <w:right w:val="nil"/>
            </w:tcBorders>
            <w:vAlign w:val="center"/>
            <w:hideMark/>
          </w:tcPr>
          <w:p w14:paraId="321151BC" w14:textId="1D15E15B" w:rsidR="00171BC2" w:rsidRPr="006D7DCA" w:rsidRDefault="00DE401D"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01" w:type="pct"/>
            <w:gridSpan w:val="3"/>
            <w:tcBorders>
              <w:top w:val="single" w:sz="4" w:space="0" w:color="auto"/>
              <w:left w:val="nil"/>
              <w:bottom w:val="single" w:sz="4" w:space="0" w:color="auto"/>
              <w:right w:val="single" w:sz="4" w:space="0" w:color="auto"/>
            </w:tcBorders>
            <w:vAlign w:val="center"/>
            <w:hideMark/>
          </w:tcPr>
          <w:p w14:paraId="5D7974B5"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0.003</w:t>
            </w:r>
          </w:p>
        </w:tc>
        <w:tc>
          <w:tcPr>
            <w:tcW w:w="1302" w:type="pct"/>
            <w:gridSpan w:val="3"/>
            <w:tcBorders>
              <w:top w:val="single" w:sz="4" w:space="0" w:color="auto"/>
              <w:left w:val="single" w:sz="4" w:space="0" w:color="auto"/>
              <w:bottom w:val="single" w:sz="4" w:space="0" w:color="auto"/>
              <w:right w:val="single" w:sz="4" w:space="0" w:color="auto"/>
            </w:tcBorders>
            <w:vAlign w:val="center"/>
            <w:hideMark/>
          </w:tcPr>
          <w:p w14:paraId="177F34A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1303" w:type="pct"/>
            <w:gridSpan w:val="3"/>
            <w:tcBorders>
              <w:top w:val="single" w:sz="4" w:space="0" w:color="auto"/>
              <w:left w:val="single" w:sz="4" w:space="0" w:color="auto"/>
              <w:bottom w:val="single" w:sz="4" w:space="0" w:color="auto"/>
              <w:right w:val="nil"/>
            </w:tcBorders>
            <w:vAlign w:val="center"/>
            <w:hideMark/>
          </w:tcPr>
          <w:p w14:paraId="06147A1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584CE226" w14:textId="77777777" w:rsidTr="00DE401D">
        <w:trPr>
          <w:trHeight w:hRule="exact" w:val="340"/>
          <w:jc w:val="center"/>
        </w:trPr>
        <w:tc>
          <w:tcPr>
            <w:tcW w:w="667" w:type="pct"/>
            <w:vMerge w:val="restart"/>
            <w:tcBorders>
              <w:top w:val="single" w:sz="4" w:space="0" w:color="auto"/>
              <w:left w:val="nil"/>
              <w:bottom w:val="nil"/>
              <w:right w:val="nil"/>
            </w:tcBorders>
            <w:vAlign w:val="center"/>
            <w:hideMark/>
          </w:tcPr>
          <w:p w14:paraId="16E00E06"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Afrontamiento. Planificación</w:t>
            </w:r>
          </w:p>
        </w:tc>
        <w:tc>
          <w:tcPr>
            <w:tcW w:w="427" w:type="pct"/>
            <w:tcBorders>
              <w:top w:val="single" w:sz="4" w:space="0" w:color="auto"/>
              <w:left w:val="nil"/>
              <w:bottom w:val="nil"/>
              <w:right w:val="nil"/>
            </w:tcBorders>
            <w:vAlign w:val="center"/>
            <w:hideMark/>
          </w:tcPr>
          <w:p w14:paraId="2C86BD72"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481E79E8"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23.09</w:t>
            </w:r>
          </w:p>
        </w:tc>
        <w:tc>
          <w:tcPr>
            <w:tcW w:w="476" w:type="pct"/>
            <w:tcBorders>
              <w:top w:val="single" w:sz="4" w:space="0" w:color="auto"/>
              <w:left w:val="nil"/>
              <w:bottom w:val="nil"/>
              <w:right w:val="nil"/>
            </w:tcBorders>
            <w:vAlign w:val="center"/>
            <w:hideMark/>
          </w:tcPr>
          <w:p w14:paraId="54379BA9"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21.15</w:t>
            </w:r>
          </w:p>
        </w:tc>
        <w:tc>
          <w:tcPr>
            <w:tcW w:w="449" w:type="pct"/>
            <w:tcBorders>
              <w:top w:val="single" w:sz="4" w:space="0" w:color="auto"/>
              <w:left w:val="nil"/>
              <w:bottom w:val="nil"/>
              <w:right w:val="single" w:sz="4" w:space="0" w:color="auto"/>
            </w:tcBorders>
            <w:vAlign w:val="center"/>
            <w:hideMark/>
          </w:tcPr>
          <w:p w14:paraId="745B8F30"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20.39</w:t>
            </w:r>
          </w:p>
        </w:tc>
        <w:tc>
          <w:tcPr>
            <w:tcW w:w="376" w:type="pct"/>
            <w:tcBorders>
              <w:top w:val="single" w:sz="4" w:space="0" w:color="auto"/>
              <w:left w:val="single" w:sz="4" w:space="0" w:color="auto"/>
              <w:bottom w:val="nil"/>
              <w:right w:val="nil"/>
            </w:tcBorders>
            <w:vAlign w:val="center"/>
            <w:hideMark/>
          </w:tcPr>
          <w:p w14:paraId="77911ABF"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23.01</w:t>
            </w:r>
          </w:p>
        </w:tc>
        <w:tc>
          <w:tcPr>
            <w:tcW w:w="476" w:type="pct"/>
            <w:tcBorders>
              <w:top w:val="single" w:sz="4" w:space="0" w:color="auto"/>
              <w:left w:val="nil"/>
              <w:bottom w:val="nil"/>
              <w:right w:val="nil"/>
            </w:tcBorders>
            <w:vAlign w:val="center"/>
            <w:hideMark/>
          </w:tcPr>
          <w:p w14:paraId="14BC0A66"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21.59</w:t>
            </w:r>
          </w:p>
        </w:tc>
        <w:tc>
          <w:tcPr>
            <w:tcW w:w="450" w:type="pct"/>
            <w:tcBorders>
              <w:top w:val="single" w:sz="4" w:space="0" w:color="auto"/>
              <w:left w:val="nil"/>
              <w:bottom w:val="nil"/>
              <w:right w:val="single" w:sz="4" w:space="0" w:color="auto"/>
            </w:tcBorders>
            <w:vAlign w:val="center"/>
            <w:hideMark/>
          </w:tcPr>
          <w:p w14:paraId="0CE7AC05"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20.32</w:t>
            </w:r>
          </w:p>
        </w:tc>
        <w:tc>
          <w:tcPr>
            <w:tcW w:w="376" w:type="pct"/>
            <w:tcBorders>
              <w:top w:val="single" w:sz="4" w:space="0" w:color="auto"/>
              <w:left w:val="single" w:sz="4" w:space="0" w:color="auto"/>
              <w:bottom w:val="nil"/>
              <w:right w:val="nil"/>
            </w:tcBorders>
            <w:vAlign w:val="center"/>
            <w:hideMark/>
          </w:tcPr>
          <w:p w14:paraId="2EBF01CD"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23.27</w:t>
            </w:r>
          </w:p>
        </w:tc>
        <w:tc>
          <w:tcPr>
            <w:tcW w:w="477" w:type="pct"/>
            <w:tcBorders>
              <w:top w:val="single" w:sz="4" w:space="0" w:color="auto"/>
              <w:left w:val="nil"/>
              <w:bottom w:val="nil"/>
              <w:right w:val="nil"/>
            </w:tcBorders>
            <w:vAlign w:val="center"/>
            <w:hideMark/>
          </w:tcPr>
          <w:p w14:paraId="70B4E1F9"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20.50</w:t>
            </w:r>
          </w:p>
        </w:tc>
        <w:tc>
          <w:tcPr>
            <w:tcW w:w="450" w:type="pct"/>
            <w:tcBorders>
              <w:top w:val="single" w:sz="4" w:space="0" w:color="auto"/>
              <w:left w:val="nil"/>
              <w:bottom w:val="nil"/>
              <w:right w:val="nil"/>
            </w:tcBorders>
            <w:vAlign w:val="center"/>
            <w:hideMark/>
          </w:tcPr>
          <w:p w14:paraId="664DF8C1"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18.99</w:t>
            </w:r>
          </w:p>
        </w:tc>
      </w:tr>
      <w:tr w:rsidR="006D7DCA" w:rsidRPr="006D7DCA" w14:paraId="7E4CC788" w14:textId="77777777" w:rsidTr="00DE401D">
        <w:trPr>
          <w:trHeight w:hRule="exact" w:val="340"/>
          <w:jc w:val="center"/>
        </w:trPr>
        <w:tc>
          <w:tcPr>
            <w:tcW w:w="667" w:type="pct"/>
            <w:vMerge/>
            <w:tcBorders>
              <w:top w:val="nil"/>
              <w:left w:val="nil"/>
              <w:bottom w:val="nil"/>
              <w:right w:val="nil"/>
            </w:tcBorders>
            <w:vAlign w:val="center"/>
            <w:hideMark/>
          </w:tcPr>
          <w:p w14:paraId="188CA413"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427" w:type="pct"/>
            <w:tcBorders>
              <w:top w:val="nil"/>
              <w:left w:val="nil"/>
              <w:bottom w:val="single" w:sz="4" w:space="0" w:color="auto"/>
              <w:right w:val="nil"/>
            </w:tcBorders>
            <w:vAlign w:val="center"/>
            <w:hideMark/>
          </w:tcPr>
          <w:p w14:paraId="667F1F5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35E1BCB9"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6.13</w:t>
            </w:r>
          </w:p>
        </w:tc>
        <w:tc>
          <w:tcPr>
            <w:tcW w:w="476" w:type="pct"/>
            <w:tcBorders>
              <w:top w:val="nil"/>
              <w:left w:val="nil"/>
              <w:bottom w:val="single" w:sz="4" w:space="0" w:color="auto"/>
              <w:right w:val="nil"/>
            </w:tcBorders>
            <w:vAlign w:val="center"/>
            <w:hideMark/>
          </w:tcPr>
          <w:p w14:paraId="3011CB91"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5.33</w:t>
            </w:r>
          </w:p>
        </w:tc>
        <w:tc>
          <w:tcPr>
            <w:tcW w:w="449" w:type="pct"/>
            <w:tcBorders>
              <w:top w:val="nil"/>
              <w:left w:val="nil"/>
              <w:bottom w:val="single" w:sz="4" w:space="0" w:color="auto"/>
              <w:right w:val="single" w:sz="4" w:space="0" w:color="auto"/>
            </w:tcBorders>
            <w:vAlign w:val="center"/>
            <w:hideMark/>
          </w:tcPr>
          <w:p w14:paraId="35BB42A8"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6.36</w:t>
            </w:r>
          </w:p>
        </w:tc>
        <w:tc>
          <w:tcPr>
            <w:tcW w:w="376" w:type="pct"/>
            <w:tcBorders>
              <w:top w:val="nil"/>
              <w:left w:val="single" w:sz="4" w:space="0" w:color="auto"/>
              <w:bottom w:val="single" w:sz="4" w:space="0" w:color="auto"/>
              <w:right w:val="nil"/>
            </w:tcBorders>
            <w:vAlign w:val="center"/>
            <w:hideMark/>
          </w:tcPr>
          <w:p w14:paraId="6BF8FDB9"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6.11</w:t>
            </w:r>
          </w:p>
        </w:tc>
        <w:tc>
          <w:tcPr>
            <w:tcW w:w="476" w:type="pct"/>
            <w:tcBorders>
              <w:top w:val="nil"/>
              <w:left w:val="nil"/>
              <w:bottom w:val="single" w:sz="4" w:space="0" w:color="auto"/>
              <w:right w:val="nil"/>
            </w:tcBorders>
            <w:vAlign w:val="center"/>
            <w:hideMark/>
          </w:tcPr>
          <w:p w14:paraId="4A2A821D"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5.67</w:t>
            </w:r>
          </w:p>
        </w:tc>
        <w:tc>
          <w:tcPr>
            <w:tcW w:w="450" w:type="pct"/>
            <w:tcBorders>
              <w:top w:val="nil"/>
              <w:left w:val="nil"/>
              <w:bottom w:val="single" w:sz="4" w:space="0" w:color="auto"/>
              <w:right w:val="single" w:sz="4" w:space="0" w:color="auto"/>
            </w:tcBorders>
            <w:vAlign w:val="center"/>
            <w:hideMark/>
          </w:tcPr>
          <w:p w14:paraId="5BCE7F8E"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5.96</w:t>
            </w:r>
          </w:p>
        </w:tc>
        <w:tc>
          <w:tcPr>
            <w:tcW w:w="376" w:type="pct"/>
            <w:tcBorders>
              <w:top w:val="nil"/>
              <w:left w:val="single" w:sz="4" w:space="0" w:color="auto"/>
              <w:bottom w:val="single" w:sz="4" w:space="0" w:color="auto"/>
              <w:right w:val="nil"/>
            </w:tcBorders>
            <w:vAlign w:val="center"/>
            <w:hideMark/>
          </w:tcPr>
          <w:p w14:paraId="1C004F71"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6.03</w:t>
            </w:r>
          </w:p>
        </w:tc>
        <w:tc>
          <w:tcPr>
            <w:tcW w:w="477" w:type="pct"/>
            <w:tcBorders>
              <w:top w:val="nil"/>
              <w:left w:val="nil"/>
              <w:bottom w:val="single" w:sz="4" w:space="0" w:color="auto"/>
              <w:right w:val="nil"/>
            </w:tcBorders>
            <w:vAlign w:val="center"/>
            <w:hideMark/>
          </w:tcPr>
          <w:p w14:paraId="52F46842"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5.45</w:t>
            </w:r>
          </w:p>
        </w:tc>
        <w:tc>
          <w:tcPr>
            <w:tcW w:w="450" w:type="pct"/>
            <w:tcBorders>
              <w:top w:val="nil"/>
              <w:left w:val="nil"/>
              <w:bottom w:val="single" w:sz="4" w:space="0" w:color="auto"/>
              <w:right w:val="nil"/>
            </w:tcBorders>
            <w:vAlign w:val="center"/>
            <w:hideMark/>
          </w:tcPr>
          <w:p w14:paraId="05508D63"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5.72</w:t>
            </w:r>
          </w:p>
        </w:tc>
      </w:tr>
      <w:tr w:rsidR="006D7DCA" w:rsidRPr="006D7DCA" w14:paraId="2EC78E86" w14:textId="77777777" w:rsidTr="00DE401D">
        <w:trPr>
          <w:trHeight w:hRule="exact" w:val="340"/>
          <w:jc w:val="center"/>
        </w:trPr>
        <w:tc>
          <w:tcPr>
            <w:tcW w:w="667" w:type="pct"/>
            <w:vMerge/>
            <w:tcBorders>
              <w:top w:val="nil"/>
              <w:left w:val="nil"/>
              <w:bottom w:val="single" w:sz="4" w:space="0" w:color="auto"/>
              <w:right w:val="nil"/>
            </w:tcBorders>
            <w:vAlign w:val="center"/>
            <w:hideMark/>
          </w:tcPr>
          <w:p w14:paraId="628FB1ED"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427" w:type="pct"/>
            <w:tcBorders>
              <w:top w:val="single" w:sz="4" w:space="0" w:color="auto"/>
              <w:left w:val="nil"/>
              <w:bottom w:val="single" w:sz="4" w:space="0" w:color="auto"/>
              <w:right w:val="nil"/>
            </w:tcBorders>
            <w:vAlign w:val="center"/>
            <w:hideMark/>
          </w:tcPr>
          <w:p w14:paraId="3DA9C550" w14:textId="39ACF5D6" w:rsidR="00171BC2" w:rsidRPr="006D7DCA" w:rsidRDefault="00DE401D"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01" w:type="pct"/>
            <w:gridSpan w:val="3"/>
            <w:tcBorders>
              <w:top w:val="single" w:sz="4" w:space="0" w:color="auto"/>
              <w:left w:val="nil"/>
              <w:bottom w:val="single" w:sz="4" w:space="0" w:color="auto"/>
              <w:right w:val="single" w:sz="4" w:space="0" w:color="auto"/>
            </w:tcBorders>
            <w:vAlign w:val="center"/>
            <w:hideMark/>
          </w:tcPr>
          <w:p w14:paraId="35035D56"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1302" w:type="pct"/>
            <w:gridSpan w:val="3"/>
            <w:tcBorders>
              <w:top w:val="single" w:sz="4" w:space="0" w:color="auto"/>
              <w:left w:val="single" w:sz="4" w:space="0" w:color="auto"/>
              <w:bottom w:val="single" w:sz="4" w:space="0" w:color="auto"/>
              <w:right w:val="single" w:sz="4" w:space="0" w:color="auto"/>
            </w:tcBorders>
            <w:vAlign w:val="center"/>
            <w:hideMark/>
          </w:tcPr>
          <w:p w14:paraId="5D208CD3"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1303" w:type="pct"/>
            <w:gridSpan w:val="3"/>
            <w:tcBorders>
              <w:top w:val="single" w:sz="4" w:space="0" w:color="auto"/>
              <w:left w:val="single" w:sz="4" w:space="0" w:color="auto"/>
              <w:bottom w:val="single" w:sz="4" w:space="0" w:color="auto"/>
              <w:right w:val="nil"/>
            </w:tcBorders>
            <w:vAlign w:val="center"/>
            <w:hideMark/>
          </w:tcPr>
          <w:p w14:paraId="44C759A9"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r>
      <w:tr w:rsidR="006D7DCA" w:rsidRPr="006D7DCA" w14:paraId="36A45BBA" w14:textId="77777777" w:rsidTr="00DE401D">
        <w:trPr>
          <w:trHeight w:hRule="exact" w:val="340"/>
          <w:jc w:val="center"/>
        </w:trPr>
        <w:tc>
          <w:tcPr>
            <w:tcW w:w="667" w:type="pct"/>
            <w:vMerge w:val="restart"/>
            <w:tcBorders>
              <w:top w:val="single" w:sz="4" w:space="0" w:color="auto"/>
              <w:left w:val="nil"/>
              <w:bottom w:val="single" w:sz="4" w:space="0" w:color="auto"/>
              <w:right w:val="nil"/>
            </w:tcBorders>
            <w:vAlign w:val="center"/>
            <w:hideMark/>
          </w:tcPr>
          <w:p w14:paraId="38B37443"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Procrastinación</w:t>
            </w:r>
          </w:p>
        </w:tc>
        <w:tc>
          <w:tcPr>
            <w:tcW w:w="427" w:type="pct"/>
            <w:tcBorders>
              <w:top w:val="single" w:sz="4" w:space="0" w:color="auto"/>
              <w:left w:val="nil"/>
              <w:bottom w:val="nil"/>
              <w:right w:val="nil"/>
            </w:tcBorders>
            <w:vAlign w:val="center"/>
            <w:hideMark/>
          </w:tcPr>
          <w:p w14:paraId="577FF00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M</w:t>
            </w:r>
          </w:p>
        </w:tc>
        <w:tc>
          <w:tcPr>
            <w:tcW w:w="376" w:type="pct"/>
            <w:tcBorders>
              <w:top w:val="single" w:sz="4" w:space="0" w:color="auto"/>
              <w:left w:val="nil"/>
              <w:bottom w:val="nil"/>
              <w:right w:val="nil"/>
            </w:tcBorders>
            <w:vAlign w:val="center"/>
            <w:hideMark/>
          </w:tcPr>
          <w:p w14:paraId="62290806"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9.77</w:t>
            </w:r>
          </w:p>
        </w:tc>
        <w:tc>
          <w:tcPr>
            <w:tcW w:w="476" w:type="pct"/>
            <w:tcBorders>
              <w:top w:val="single" w:sz="4" w:space="0" w:color="auto"/>
              <w:left w:val="nil"/>
              <w:bottom w:val="nil"/>
              <w:right w:val="nil"/>
            </w:tcBorders>
            <w:vAlign w:val="center"/>
            <w:hideMark/>
          </w:tcPr>
          <w:p w14:paraId="5B25BE32"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10.70</w:t>
            </w:r>
          </w:p>
        </w:tc>
        <w:tc>
          <w:tcPr>
            <w:tcW w:w="449" w:type="pct"/>
            <w:tcBorders>
              <w:top w:val="single" w:sz="4" w:space="0" w:color="auto"/>
              <w:left w:val="nil"/>
              <w:bottom w:val="nil"/>
              <w:right w:val="single" w:sz="4" w:space="0" w:color="auto"/>
            </w:tcBorders>
            <w:vAlign w:val="center"/>
            <w:hideMark/>
          </w:tcPr>
          <w:p w14:paraId="51FE7335"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11.43</w:t>
            </w:r>
          </w:p>
        </w:tc>
        <w:tc>
          <w:tcPr>
            <w:tcW w:w="376" w:type="pct"/>
            <w:tcBorders>
              <w:top w:val="single" w:sz="4" w:space="0" w:color="auto"/>
              <w:left w:val="single" w:sz="4" w:space="0" w:color="auto"/>
              <w:bottom w:val="nil"/>
              <w:right w:val="nil"/>
            </w:tcBorders>
            <w:vAlign w:val="center"/>
            <w:hideMark/>
          </w:tcPr>
          <w:p w14:paraId="29969970"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9.73</w:t>
            </w:r>
          </w:p>
        </w:tc>
        <w:tc>
          <w:tcPr>
            <w:tcW w:w="476" w:type="pct"/>
            <w:tcBorders>
              <w:top w:val="single" w:sz="4" w:space="0" w:color="auto"/>
              <w:left w:val="nil"/>
              <w:bottom w:val="nil"/>
              <w:right w:val="nil"/>
            </w:tcBorders>
            <w:vAlign w:val="center"/>
            <w:hideMark/>
          </w:tcPr>
          <w:p w14:paraId="118927B8"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10.97</w:t>
            </w:r>
          </w:p>
        </w:tc>
        <w:tc>
          <w:tcPr>
            <w:tcW w:w="450" w:type="pct"/>
            <w:tcBorders>
              <w:top w:val="single" w:sz="4" w:space="0" w:color="auto"/>
              <w:left w:val="nil"/>
              <w:bottom w:val="nil"/>
              <w:right w:val="single" w:sz="4" w:space="0" w:color="auto"/>
            </w:tcBorders>
            <w:vAlign w:val="center"/>
            <w:hideMark/>
          </w:tcPr>
          <w:p w14:paraId="55C58300"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10.98</w:t>
            </w:r>
          </w:p>
        </w:tc>
        <w:tc>
          <w:tcPr>
            <w:tcW w:w="376" w:type="pct"/>
            <w:tcBorders>
              <w:top w:val="single" w:sz="4" w:space="0" w:color="auto"/>
              <w:left w:val="single" w:sz="4" w:space="0" w:color="auto"/>
              <w:bottom w:val="nil"/>
              <w:right w:val="nil"/>
            </w:tcBorders>
            <w:vAlign w:val="center"/>
            <w:hideMark/>
          </w:tcPr>
          <w:p w14:paraId="153F89F1"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9.62</w:t>
            </w:r>
          </w:p>
        </w:tc>
        <w:tc>
          <w:tcPr>
            <w:tcW w:w="477" w:type="pct"/>
            <w:tcBorders>
              <w:top w:val="single" w:sz="4" w:space="0" w:color="auto"/>
              <w:left w:val="nil"/>
              <w:bottom w:val="nil"/>
              <w:right w:val="nil"/>
            </w:tcBorders>
            <w:vAlign w:val="center"/>
            <w:hideMark/>
          </w:tcPr>
          <w:p w14:paraId="419BAE74"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11.14</w:t>
            </w:r>
          </w:p>
        </w:tc>
        <w:tc>
          <w:tcPr>
            <w:tcW w:w="450" w:type="pct"/>
            <w:tcBorders>
              <w:top w:val="single" w:sz="4" w:space="0" w:color="auto"/>
              <w:left w:val="nil"/>
              <w:bottom w:val="nil"/>
              <w:right w:val="nil"/>
            </w:tcBorders>
            <w:vAlign w:val="center"/>
            <w:hideMark/>
          </w:tcPr>
          <w:p w14:paraId="0C80720F"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12.52</w:t>
            </w:r>
          </w:p>
        </w:tc>
      </w:tr>
      <w:tr w:rsidR="006D7DCA" w:rsidRPr="006D7DCA" w14:paraId="0BE97F74" w14:textId="77777777" w:rsidTr="00DE401D">
        <w:trPr>
          <w:trHeight w:hRule="exact" w:val="340"/>
          <w:jc w:val="center"/>
        </w:trPr>
        <w:tc>
          <w:tcPr>
            <w:tcW w:w="667" w:type="pct"/>
            <w:vMerge/>
            <w:tcBorders>
              <w:top w:val="nil"/>
              <w:left w:val="nil"/>
              <w:bottom w:val="single" w:sz="4" w:space="0" w:color="auto"/>
              <w:right w:val="nil"/>
            </w:tcBorders>
            <w:vAlign w:val="center"/>
            <w:hideMark/>
          </w:tcPr>
          <w:p w14:paraId="5A5FC3D6"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427" w:type="pct"/>
            <w:tcBorders>
              <w:top w:val="nil"/>
              <w:left w:val="nil"/>
              <w:bottom w:val="single" w:sz="4" w:space="0" w:color="auto"/>
              <w:right w:val="nil"/>
            </w:tcBorders>
            <w:vAlign w:val="center"/>
            <w:hideMark/>
          </w:tcPr>
          <w:p w14:paraId="26E8DDB5"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376" w:type="pct"/>
            <w:tcBorders>
              <w:top w:val="nil"/>
              <w:left w:val="nil"/>
              <w:bottom w:val="single" w:sz="4" w:space="0" w:color="auto"/>
              <w:right w:val="nil"/>
            </w:tcBorders>
            <w:vAlign w:val="center"/>
            <w:hideMark/>
          </w:tcPr>
          <w:p w14:paraId="4E8E30FC"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4.80</w:t>
            </w:r>
          </w:p>
        </w:tc>
        <w:tc>
          <w:tcPr>
            <w:tcW w:w="476" w:type="pct"/>
            <w:tcBorders>
              <w:top w:val="nil"/>
              <w:left w:val="nil"/>
              <w:bottom w:val="single" w:sz="4" w:space="0" w:color="auto"/>
              <w:right w:val="nil"/>
            </w:tcBorders>
            <w:vAlign w:val="center"/>
            <w:hideMark/>
          </w:tcPr>
          <w:p w14:paraId="3FFA1148"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5.23</w:t>
            </w:r>
          </w:p>
        </w:tc>
        <w:tc>
          <w:tcPr>
            <w:tcW w:w="449" w:type="pct"/>
            <w:tcBorders>
              <w:top w:val="nil"/>
              <w:left w:val="nil"/>
              <w:bottom w:val="single" w:sz="4" w:space="0" w:color="auto"/>
              <w:right w:val="single" w:sz="4" w:space="0" w:color="auto"/>
            </w:tcBorders>
            <w:vAlign w:val="center"/>
            <w:hideMark/>
          </w:tcPr>
          <w:p w14:paraId="7775D9E9"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5.63</w:t>
            </w:r>
          </w:p>
        </w:tc>
        <w:tc>
          <w:tcPr>
            <w:tcW w:w="376" w:type="pct"/>
            <w:tcBorders>
              <w:top w:val="nil"/>
              <w:left w:val="single" w:sz="4" w:space="0" w:color="auto"/>
              <w:bottom w:val="single" w:sz="4" w:space="0" w:color="auto"/>
              <w:right w:val="nil"/>
            </w:tcBorders>
            <w:vAlign w:val="center"/>
            <w:hideMark/>
          </w:tcPr>
          <w:p w14:paraId="7F35A8EA"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4.80</w:t>
            </w:r>
          </w:p>
        </w:tc>
        <w:tc>
          <w:tcPr>
            <w:tcW w:w="476" w:type="pct"/>
            <w:tcBorders>
              <w:top w:val="nil"/>
              <w:left w:val="nil"/>
              <w:bottom w:val="single" w:sz="4" w:space="0" w:color="auto"/>
              <w:right w:val="nil"/>
            </w:tcBorders>
            <w:vAlign w:val="center"/>
            <w:hideMark/>
          </w:tcPr>
          <w:p w14:paraId="489E2127"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5.36</w:t>
            </w:r>
          </w:p>
        </w:tc>
        <w:tc>
          <w:tcPr>
            <w:tcW w:w="450" w:type="pct"/>
            <w:tcBorders>
              <w:top w:val="nil"/>
              <w:left w:val="nil"/>
              <w:bottom w:val="single" w:sz="4" w:space="0" w:color="auto"/>
              <w:right w:val="single" w:sz="4" w:space="0" w:color="auto"/>
            </w:tcBorders>
            <w:vAlign w:val="center"/>
            <w:hideMark/>
          </w:tcPr>
          <w:p w14:paraId="756AB0A7"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5.30</w:t>
            </w:r>
          </w:p>
        </w:tc>
        <w:tc>
          <w:tcPr>
            <w:tcW w:w="376" w:type="pct"/>
            <w:tcBorders>
              <w:top w:val="nil"/>
              <w:left w:val="single" w:sz="4" w:space="0" w:color="auto"/>
              <w:bottom w:val="single" w:sz="4" w:space="0" w:color="auto"/>
              <w:right w:val="nil"/>
            </w:tcBorders>
            <w:vAlign w:val="center"/>
            <w:hideMark/>
          </w:tcPr>
          <w:p w14:paraId="1907EE8E"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4.68</w:t>
            </w:r>
          </w:p>
        </w:tc>
        <w:tc>
          <w:tcPr>
            <w:tcW w:w="477" w:type="pct"/>
            <w:tcBorders>
              <w:top w:val="nil"/>
              <w:left w:val="nil"/>
              <w:bottom w:val="single" w:sz="4" w:space="0" w:color="auto"/>
              <w:right w:val="nil"/>
            </w:tcBorders>
            <w:vAlign w:val="center"/>
            <w:hideMark/>
          </w:tcPr>
          <w:p w14:paraId="60578909"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5.43</w:t>
            </w:r>
          </w:p>
        </w:tc>
        <w:tc>
          <w:tcPr>
            <w:tcW w:w="450" w:type="pct"/>
            <w:tcBorders>
              <w:top w:val="nil"/>
              <w:left w:val="nil"/>
              <w:bottom w:val="single" w:sz="4" w:space="0" w:color="auto"/>
              <w:right w:val="nil"/>
            </w:tcBorders>
            <w:vAlign w:val="center"/>
            <w:hideMark/>
          </w:tcPr>
          <w:p w14:paraId="19311B1A"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5.86</w:t>
            </w:r>
          </w:p>
        </w:tc>
      </w:tr>
      <w:tr w:rsidR="006D7DCA" w:rsidRPr="006D7DCA" w14:paraId="7F1D9ECA" w14:textId="77777777" w:rsidTr="00DE401D">
        <w:trPr>
          <w:trHeight w:hRule="exact" w:val="340"/>
          <w:jc w:val="center"/>
        </w:trPr>
        <w:tc>
          <w:tcPr>
            <w:tcW w:w="667" w:type="pct"/>
            <w:vMerge/>
            <w:tcBorders>
              <w:top w:val="nil"/>
              <w:left w:val="nil"/>
              <w:bottom w:val="single" w:sz="4" w:space="0" w:color="auto"/>
              <w:right w:val="nil"/>
            </w:tcBorders>
            <w:vAlign w:val="center"/>
            <w:hideMark/>
          </w:tcPr>
          <w:p w14:paraId="17CB31CD" w14:textId="77777777" w:rsidR="00171BC2" w:rsidRPr="006D7DCA" w:rsidRDefault="00171BC2" w:rsidP="00171BC2">
            <w:pPr>
              <w:spacing w:after="0" w:line="256" w:lineRule="auto"/>
              <w:rPr>
                <w:rFonts w:ascii="Times New Roman" w:eastAsia="Calibri" w:hAnsi="Times New Roman" w:cs="Times New Roman"/>
                <w:sz w:val="16"/>
                <w:szCs w:val="16"/>
              </w:rPr>
            </w:pPr>
          </w:p>
        </w:tc>
        <w:tc>
          <w:tcPr>
            <w:tcW w:w="427" w:type="pct"/>
            <w:tcBorders>
              <w:top w:val="single" w:sz="4" w:space="0" w:color="auto"/>
              <w:left w:val="nil"/>
              <w:bottom w:val="single" w:sz="4" w:space="0" w:color="auto"/>
              <w:right w:val="nil"/>
            </w:tcBorders>
            <w:vAlign w:val="center"/>
            <w:hideMark/>
          </w:tcPr>
          <w:p w14:paraId="694242D6" w14:textId="6B0C55E7" w:rsidR="00171BC2" w:rsidRPr="006D7DCA" w:rsidRDefault="00DE401D"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P valor</w:t>
            </w:r>
          </w:p>
        </w:tc>
        <w:tc>
          <w:tcPr>
            <w:tcW w:w="1301" w:type="pct"/>
            <w:gridSpan w:val="3"/>
            <w:tcBorders>
              <w:top w:val="single" w:sz="4" w:space="0" w:color="auto"/>
              <w:left w:val="nil"/>
              <w:bottom w:val="single" w:sz="4" w:space="0" w:color="auto"/>
              <w:right w:val="single" w:sz="4" w:space="0" w:color="auto"/>
            </w:tcBorders>
            <w:vAlign w:val="center"/>
            <w:hideMark/>
          </w:tcPr>
          <w:p w14:paraId="2E0B02E1"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1302" w:type="pct"/>
            <w:gridSpan w:val="3"/>
            <w:tcBorders>
              <w:top w:val="single" w:sz="4" w:space="0" w:color="auto"/>
              <w:left w:val="single" w:sz="4" w:space="0" w:color="auto"/>
              <w:bottom w:val="single" w:sz="4" w:space="0" w:color="auto"/>
              <w:right w:val="single" w:sz="4" w:space="0" w:color="auto"/>
            </w:tcBorders>
            <w:vAlign w:val="center"/>
            <w:hideMark/>
          </w:tcPr>
          <w:p w14:paraId="777A443B"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1303" w:type="pct"/>
            <w:gridSpan w:val="3"/>
            <w:tcBorders>
              <w:top w:val="single" w:sz="4" w:space="0" w:color="auto"/>
              <w:left w:val="single" w:sz="4" w:space="0" w:color="auto"/>
              <w:bottom w:val="single" w:sz="4" w:space="0" w:color="auto"/>
              <w:right w:val="nil"/>
            </w:tcBorders>
            <w:vAlign w:val="center"/>
            <w:hideMark/>
          </w:tcPr>
          <w:p w14:paraId="28988B1D"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r>
    </w:tbl>
    <w:bookmarkEnd w:id="2"/>
    <w:p w14:paraId="2E61A19F" w14:textId="25E712B3" w:rsidR="00171BC2" w:rsidRPr="006D7DCA" w:rsidRDefault="00353328" w:rsidP="00171BC2">
      <w:pPr>
        <w:spacing w:before="240" w:line="360" w:lineRule="auto"/>
        <w:jc w:val="both"/>
        <w:rPr>
          <w:rFonts w:ascii="Times New Roman" w:eastAsia="Calibri" w:hAnsi="Times New Roman" w:cs="Times New Roman"/>
          <w:b/>
          <w:bCs/>
          <w:sz w:val="22"/>
          <w:szCs w:val="22"/>
        </w:rPr>
      </w:pPr>
      <w:r w:rsidRPr="006D7DCA">
        <w:rPr>
          <w:rFonts w:ascii="Times New Roman" w:eastAsia="Calibri" w:hAnsi="Times New Roman" w:cs="Times New Roman"/>
          <w:sz w:val="22"/>
          <w:szCs w:val="22"/>
        </w:rPr>
        <w:t xml:space="preserve">La Tabla </w:t>
      </w:r>
      <w:r w:rsidR="00166475" w:rsidRPr="006D7DCA">
        <w:rPr>
          <w:rFonts w:ascii="Times New Roman" w:eastAsia="Calibri" w:hAnsi="Times New Roman" w:cs="Times New Roman"/>
          <w:sz w:val="22"/>
          <w:szCs w:val="22"/>
        </w:rPr>
        <w:t>5</w:t>
      </w:r>
      <w:r w:rsidRPr="006D7DCA">
        <w:rPr>
          <w:rFonts w:ascii="Times New Roman" w:eastAsia="Calibri" w:hAnsi="Times New Roman" w:cs="Times New Roman"/>
          <w:sz w:val="22"/>
          <w:szCs w:val="22"/>
        </w:rPr>
        <w:t xml:space="preserve"> expone los resultados de la regresión lineal múltiple que examina la relación entre el estrés, ansiedad y depresión y diversos comportamientos académicos, hábitos de vida e indicadores de salud mental y emocional. En el modelo correspondiente al estrés, puntuaciones más altas de estrés se asociaron con puntuaciones más elevadas en mala calidad del sueño y agotamiento emocional, así como con puntuaciones más bajas en planificación como estrategia de afrontamiento y vigor académico, explicando el 35</w:t>
      </w:r>
      <w:r w:rsidR="00DE401D" w:rsidRPr="006D7DCA">
        <w:rPr>
          <w:rFonts w:ascii="Times New Roman" w:eastAsia="Calibri" w:hAnsi="Times New Roman" w:cs="Times New Roman"/>
          <w:sz w:val="22"/>
          <w:szCs w:val="22"/>
        </w:rPr>
        <w:t>.</w:t>
      </w:r>
      <w:r w:rsidRPr="006D7DCA">
        <w:rPr>
          <w:rFonts w:ascii="Times New Roman" w:eastAsia="Calibri" w:hAnsi="Times New Roman" w:cs="Times New Roman"/>
          <w:sz w:val="22"/>
          <w:szCs w:val="22"/>
        </w:rPr>
        <w:t>3% de la varianza. En el caso de la ansiedad, se observaron asociaciones con una menor adherencia a la dieta mediterránea, peor calidad del sueño, mayores niveles de procrastinación y una menor puntuación en reevaluación positiva como estrategia de afrontamiento, explicando el 25</w:t>
      </w:r>
      <w:r w:rsidR="00DE401D" w:rsidRPr="006D7DCA">
        <w:rPr>
          <w:rFonts w:ascii="Times New Roman" w:eastAsia="Calibri" w:hAnsi="Times New Roman" w:cs="Times New Roman"/>
          <w:sz w:val="22"/>
          <w:szCs w:val="22"/>
        </w:rPr>
        <w:t>.</w:t>
      </w:r>
      <w:r w:rsidRPr="006D7DCA">
        <w:rPr>
          <w:rFonts w:ascii="Times New Roman" w:eastAsia="Calibri" w:hAnsi="Times New Roman" w:cs="Times New Roman"/>
          <w:sz w:val="22"/>
          <w:szCs w:val="22"/>
        </w:rPr>
        <w:t>4% de la varianza. Por último, la depresión se asoció negativamente con la adherencia a la dieta mediterránea y positivamente con una peor calidad del sueño y mayores niveles de procrastinación. Asimismo, puntuaciones más altas de depresión se relacionaron con menores puntuaciones en reevaluación positiva, explicando el 25</w:t>
      </w:r>
      <w:r w:rsidR="00DE401D" w:rsidRPr="006D7DCA">
        <w:rPr>
          <w:rFonts w:ascii="Times New Roman" w:eastAsia="Calibri" w:hAnsi="Times New Roman" w:cs="Times New Roman"/>
          <w:sz w:val="22"/>
          <w:szCs w:val="22"/>
        </w:rPr>
        <w:t>.</w:t>
      </w:r>
      <w:r w:rsidRPr="006D7DCA">
        <w:rPr>
          <w:rFonts w:ascii="Times New Roman" w:eastAsia="Calibri" w:hAnsi="Times New Roman" w:cs="Times New Roman"/>
          <w:sz w:val="22"/>
          <w:szCs w:val="22"/>
        </w:rPr>
        <w:t>7% de la varianza.</w:t>
      </w:r>
    </w:p>
    <w:p w14:paraId="72821C83" w14:textId="14C485D3" w:rsidR="00171BC2" w:rsidRPr="006D7DCA" w:rsidRDefault="00171BC2" w:rsidP="00171BC2">
      <w:pPr>
        <w:spacing w:line="240" w:lineRule="auto"/>
        <w:rPr>
          <w:rFonts w:ascii="Times New Roman" w:eastAsia="Calibri" w:hAnsi="Times New Roman" w:cs="Times New Roman"/>
          <w:i/>
          <w:iCs/>
          <w:sz w:val="22"/>
          <w:szCs w:val="22"/>
          <w:lang w:val="en-US"/>
        </w:rPr>
      </w:pPr>
      <w:proofErr w:type="spellStart"/>
      <w:r w:rsidRPr="006D7DCA">
        <w:rPr>
          <w:rFonts w:ascii="Times New Roman" w:eastAsia="Calibri" w:hAnsi="Times New Roman" w:cs="Times New Roman"/>
          <w:b/>
          <w:bCs/>
          <w:sz w:val="22"/>
          <w:szCs w:val="22"/>
          <w:lang w:val="en-US"/>
        </w:rPr>
        <w:t>Tabl</w:t>
      </w:r>
      <w:r w:rsidR="002D0C40" w:rsidRPr="006D7DCA">
        <w:rPr>
          <w:rFonts w:ascii="Times New Roman" w:eastAsia="Calibri" w:hAnsi="Times New Roman" w:cs="Times New Roman"/>
          <w:b/>
          <w:bCs/>
          <w:sz w:val="22"/>
          <w:szCs w:val="22"/>
          <w:lang w:val="en-US"/>
        </w:rPr>
        <w:t>a</w:t>
      </w:r>
      <w:proofErr w:type="spellEnd"/>
      <w:r w:rsidRPr="006D7DCA">
        <w:rPr>
          <w:rFonts w:ascii="Times New Roman" w:eastAsia="Calibri" w:hAnsi="Times New Roman" w:cs="Times New Roman"/>
          <w:b/>
          <w:bCs/>
          <w:sz w:val="22"/>
          <w:szCs w:val="22"/>
          <w:lang w:val="en-US"/>
        </w:rPr>
        <w:t xml:space="preserve"> </w:t>
      </w:r>
      <w:r w:rsidR="00166475" w:rsidRPr="006D7DCA">
        <w:rPr>
          <w:rFonts w:ascii="Times New Roman" w:eastAsia="Calibri" w:hAnsi="Times New Roman" w:cs="Times New Roman"/>
          <w:b/>
          <w:bCs/>
          <w:sz w:val="22"/>
          <w:szCs w:val="22"/>
          <w:lang w:val="en-US"/>
        </w:rPr>
        <w:t>5</w:t>
      </w:r>
      <w:r w:rsidRPr="006D7DCA">
        <w:rPr>
          <w:rFonts w:ascii="Times New Roman" w:eastAsia="Calibri" w:hAnsi="Times New Roman" w:cs="Times New Roman"/>
          <w:b/>
          <w:bCs/>
          <w:sz w:val="22"/>
          <w:szCs w:val="22"/>
          <w:lang w:val="en-US"/>
        </w:rPr>
        <w:t xml:space="preserve">. </w:t>
      </w:r>
      <w:proofErr w:type="spellStart"/>
      <w:r w:rsidR="002D0C40" w:rsidRPr="006D7DCA">
        <w:rPr>
          <w:rFonts w:ascii="Times New Roman" w:eastAsia="Calibri" w:hAnsi="Times New Roman" w:cs="Times New Roman"/>
          <w:i/>
          <w:iCs/>
          <w:sz w:val="22"/>
          <w:szCs w:val="22"/>
          <w:lang w:val="en-US"/>
        </w:rPr>
        <w:t>Resultados</w:t>
      </w:r>
      <w:proofErr w:type="spellEnd"/>
      <w:r w:rsidR="002D0C40" w:rsidRPr="006D7DCA">
        <w:rPr>
          <w:rFonts w:ascii="Times New Roman" w:eastAsia="Calibri" w:hAnsi="Times New Roman" w:cs="Times New Roman"/>
          <w:i/>
          <w:iCs/>
          <w:sz w:val="22"/>
          <w:szCs w:val="22"/>
          <w:lang w:val="en-US"/>
        </w:rPr>
        <w:t xml:space="preserve"> de </w:t>
      </w:r>
      <w:proofErr w:type="spellStart"/>
      <w:r w:rsidR="002D0C40" w:rsidRPr="006D7DCA">
        <w:rPr>
          <w:rFonts w:ascii="Times New Roman" w:eastAsia="Calibri" w:hAnsi="Times New Roman" w:cs="Times New Roman"/>
          <w:i/>
          <w:iCs/>
          <w:sz w:val="22"/>
          <w:szCs w:val="22"/>
          <w:lang w:val="en-US"/>
        </w:rPr>
        <w:t>los</w:t>
      </w:r>
      <w:proofErr w:type="spellEnd"/>
      <w:r w:rsidR="002D0C40" w:rsidRPr="006D7DCA">
        <w:rPr>
          <w:rFonts w:ascii="Times New Roman" w:eastAsia="Calibri" w:hAnsi="Times New Roman" w:cs="Times New Roman"/>
          <w:i/>
          <w:iCs/>
          <w:sz w:val="22"/>
          <w:szCs w:val="22"/>
          <w:lang w:val="en-US"/>
        </w:rPr>
        <w:t xml:space="preserve"> </w:t>
      </w:r>
      <w:proofErr w:type="spellStart"/>
      <w:r w:rsidR="002D0C40" w:rsidRPr="006D7DCA">
        <w:rPr>
          <w:rFonts w:ascii="Times New Roman" w:eastAsia="Calibri" w:hAnsi="Times New Roman" w:cs="Times New Roman"/>
          <w:i/>
          <w:iCs/>
          <w:sz w:val="22"/>
          <w:szCs w:val="22"/>
          <w:lang w:val="en-US"/>
        </w:rPr>
        <w:t>análisis</w:t>
      </w:r>
      <w:proofErr w:type="spellEnd"/>
      <w:r w:rsidR="002D0C40" w:rsidRPr="006D7DCA">
        <w:rPr>
          <w:rFonts w:ascii="Times New Roman" w:eastAsia="Calibri" w:hAnsi="Times New Roman" w:cs="Times New Roman"/>
          <w:i/>
          <w:iCs/>
          <w:sz w:val="22"/>
          <w:szCs w:val="22"/>
          <w:lang w:val="en-US"/>
        </w:rPr>
        <w:t xml:space="preserve"> de </w:t>
      </w:r>
      <w:proofErr w:type="spellStart"/>
      <w:r w:rsidR="002D0C40" w:rsidRPr="006D7DCA">
        <w:rPr>
          <w:rFonts w:ascii="Times New Roman" w:eastAsia="Calibri" w:hAnsi="Times New Roman" w:cs="Times New Roman"/>
          <w:i/>
          <w:iCs/>
          <w:sz w:val="22"/>
          <w:szCs w:val="22"/>
          <w:lang w:val="en-US"/>
        </w:rPr>
        <w:t>regresión</w:t>
      </w:r>
      <w:proofErr w:type="spellEnd"/>
      <w:r w:rsidR="002D0C40" w:rsidRPr="006D7DCA">
        <w:rPr>
          <w:rFonts w:ascii="Times New Roman" w:eastAsia="Calibri" w:hAnsi="Times New Roman" w:cs="Times New Roman"/>
          <w:i/>
          <w:iCs/>
          <w:sz w:val="22"/>
          <w:szCs w:val="22"/>
          <w:lang w:val="en-US"/>
        </w:rPr>
        <w:t xml:space="preserve"> </w:t>
      </w:r>
      <w:proofErr w:type="spellStart"/>
      <w:r w:rsidR="002D0C40" w:rsidRPr="006D7DCA">
        <w:rPr>
          <w:rFonts w:ascii="Times New Roman" w:eastAsia="Calibri" w:hAnsi="Times New Roman" w:cs="Times New Roman"/>
          <w:i/>
          <w:iCs/>
          <w:sz w:val="22"/>
          <w:szCs w:val="22"/>
          <w:lang w:val="en-US"/>
        </w:rPr>
        <w:t>en</w:t>
      </w:r>
      <w:proofErr w:type="spellEnd"/>
      <w:r w:rsidR="002D0C40" w:rsidRPr="006D7DCA">
        <w:rPr>
          <w:rFonts w:ascii="Times New Roman" w:eastAsia="Calibri" w:hAnsi="Times New Roman" w:cs="Times New Roman"/>
          <w:i/>
          <w:iCs/>
          <w:sz w:val="22"/>
          <w:szCs w:val="22"/>
          <w:lang w:val="en-US"/>
        </w:rPr>
        <w:t xml:space="preserve"> </w:t>
      </w:r>
      <w:proofErr w:type="spellStart"/>
      <w:r w:rsidR="002D0C40" w:rsidRPr="006D7DCA">
        <w:rPr>
          <w:rFonts w:ascii="Times New Roman" w:eastAsia="Calibri" w:hAnsi="Times New Roman" w:cs="Times New Roman"/>
          <w:i/>
          <w:iCs/>
          <w:sz w:val="22"/>
          <w:szCs w:val="22"/>
          <w:lang w:val="en-US"/>
        </w:rPr>
        <w:t>relación</w:t>
      </w:r>
      <w:proofErr w:type="spellEnd"/>
      <w:r w:rsidR="002D0C40" w:rsidRPr="006D7DCA">
        <w:rPr>
          <w:rFonts w:ascii="Times New Roman" w:eastAsia="Calibri" w:hAnsi="Times New Roman" w:cs="Times New Roman"/>
          <w:i/>
          <w:iCs/>
          <w:sz w:val="22"/>
          <w:szCs w:val="22"/>
          <w:lang w:val="en-US"/>
        </w:rPr>
        <w:t xml:space="preserve"> con </w:t>
      </w:r>
      <w:proofErr w:type="spellStart"/>
      <w:r w:rsidR="002D0C40" w:rsidRPr="006D7DCA">
        <w:rPr>
          <w:rFonts w:ascii="Times New Roman" w:eastAsia="Calibri" w:hAnsi="Times New Roman" w:cs="Times New Roman"/>
          <w:i/>
          <w:iCs/>
          <w:sz w:val="22"/>
          <w:szCs w:val="22"/>
          <w:lang w:val="en-US"/>
        </w:rPr>
        <w:t>el</w:t>
      </w:r>
      <w:proofErr w:type="spellEnd"/>
      <w:r w:rsidR="002D0C40" w:rsidRPr="006D7DCA">
        <w:rPr>
          <w:rFonts w:ascii="Times New Roman" w:eastAsia="Calibri" w:hAnsi="Times New Roman" w:cs="Times New Roman"/>
          <w:i/>
          <w:iCs/>
          <w:sz w:val="22"/>
          <w:szCs w:val="22"/>
          <w:lang w:val="en-US"/>
        </w:rPr>
        <w:t xml:space="preserve"> </w:t>
      </w:r>
      <w:proofErr w:type="spellStart"/>
      <w:r w:rsidR="002D0C40" w:rsidRPr="006D7DCA">
        <w:rPr>
          <w:rFonts w:ascii="Times New Roman" w:eastAsia="Calibri" w:hAnsi="Times New Roman" w:cs="Times New Roman"/>
          <w:i/>
          <w:iCs/>
          <w:sz w:val="22"/>
          <w:szCs w:val="22"/>
          <w:lang w:val="en-US"/>
        </w:rPr>
        <w:t>estrés</w:t>
      </w:r>
      <w:proofErr w:type="spellEnd"/>
      <w:r w:rsidR="002D0C40" w:rsidRPr="006D7DCA">
        <w:rPr>
          <w:rFonts w:ascii="Times New Roman" w:eastAsia="Calibri" w:hAnsi="Times New Roman" w:cs="Times New Roman"/>
          <w:i/>
          <w:iCs/>
          <w:sz w:val="22"/>
          <w:szCs w:val="22"/>
          <w:lang w:val="en-US"/>
        </w:rPr>
        <w:t xml:space="preserve">, la </w:t>
      </w:r>
      <w:proofErr w:type="spellStart"/>
      <w:r w:rsidR="002D0C40" w:rsidRPr="006D7DCA">
        <w:rPr>
          <w:rFonts w:ascii="Times New Roman" w:eastAsia="Calibri" w:hAnsi="Times New Roman" w:cs="Times New Roman"/>
          <w:i/>
          <w:iCs/>
          <w:sz w:val="22"/>
          <w:szCs w:val="22"/>
          <w:lang w:val="en-US"/>
        </w:rPr>
        <w:t>ansiedad</w:t>
      </w:r>
      <w:proofErr w:type="spellEnd"/>
      <w:r w:rsidR="002D0C40" w:rsidRPr="006D7DCA">
        <w:rPr>
          <w:rFonts w:ascii="Times New Roman" w:eastAsia="Calibri" w:hAnsi="Times New Roman" w:cs="Times New Roman"/>
          <w:i/>
          <w:iCs/>
          <w:sz w:val="22"/>
          <w:szCs w:val="22"/>
          <w:lang w:val="en-US"/>
        </w:rPr>
        <w:t xml:space="preserve"> y la </w:t>
      </w:r>
      <w:proofErr w:type="spellStart"/>
      <w:r w:rsidR="002D0C40" w:rsidRPr="006D7DCA">
        <w:rPr>
          <w:rFonts w:ascii="Times New Roman" w:eastAsia="Calibri" w:hAnsi="Times New Roman" w:cs="Times New Roman"/>
          <w:i/>
          <w:iCs/>
          <w:sz w:val="22"/>
          <w:szCs w:val="22"/>
          <w:lang w:val="en-US"/>
        </w:rPr>
        <w:t>depresión</w:t>
      </w:r>
      <w:proofErr w:type="spellEnd"/>
      <w:r w:rsidRPr="006D7DCA">
        <w:rPr>
          <w:rFonts w:ascii="Times New Roman" w:eastAsia="Calibri" w:hAnsi="Times New Roman" w:cs="Times New Roman"/>
          <w:b/>
          <w:bCs/>
          <w:sz w:val="22"/>
          <w:szCs w:val="22"/>
          <w:lang w:val="en-US"/>
        </w:rPr>
        <w:t xml:space="preserve"> </w:t>
      </w:r>
    </w:p>
    <w:tbl>
      <w:tblPr>
        <w:tblW w:w="5000" w:type="pct"/>
        <w:tblBorders>
          <w:top w:val="single" w:sz="4" w:space="0" w:color="auto"/>
          <w:bottom w:val="single" w:sz="4" w:space="0" w:color="auto"/>
        </w:tblBorders>
        <w:tblCellMar>
          <w:left w:w="85" w:type="dxa"/>
          <w:right w:w="85" w:type="dxa"/>
        </w:tblCellMar>
        <w:tblLook w:val="04A0" w:firstRow="1" w:lastRow="0" w:firstColumn="1" w:lastColumn="0" w:noHBand="0" w:noVBand="1"/>
      </w:tblPr>
      <w:tblGrid>
        <w:gridCol w:w="3361"/>
        <w:gridCol w:w="714"/>
        <w:gridCol w:w="645"/>
        <w:gridCol w:w="1050"/>
        <w:gridCol w:w="811"/>
        <w:gridCol w:w="816"/>
        <w:gridCol w:w="1107"/>
      </w:tblGrid>
      <w:tr w:rsidR="006D7DCA" w:rsidRPr="006D7DCA" w14:paraId="2AEB6071" w14:textId="77777777" w:rsidTr="00646185">
        <w:trPr>
          <w:trHeight w:val="586"/>
        </w:trPr>
        <w:tc>
          <w:tcPr>
            <w:tcW w:w="1976" w:type="pct"/>
            <w:tcBorders>
              <w:top w:val="single" w:sz="4" w:space="0" w:color="auto"/>
              <w:left w:val="nil"/>
              <w:bottom w:val="single" w:sz="4" w:space="0" w:color="auto"/>
              <w:right w:val="nil"/>
            </w:tcBorders>
            <w:vAlign w:val="center"/>
          </w:tcPr>
          <w:p w14:paraId="2CE93A3B" w14:textId="77777777" w:rsidR="00171BC2" w:rsidRPr="006D7DCA" w:rsidRDefault="00171BC2" w:rsidP="00171BC2">
            <w:pPr>
              <w:spacing w:after="0" w:line="256" w:lineRule="auto"/>
              <w:jc w:val="center"/>
              <w:rPr>
                <w:rFonts w:ascii="Times New Roman" w:eastAsia="Calibri" w:hAnsi="Times New Roman" w:cs="Times New Roman"/>
                <w:sz w:val="16"/>
                <w:szCs w:val="16"/>
              </w:rPr>
            </w:pPr>
          </w:p>
        </w:tc>
        <w:tc>
          <w:tcPr>
            <w:tcW w:w="420" w:type="pct"/>
            <w:tcBorders>
              <w:top w:val="single" w:sz="4" w:space="0" w:color="auto"/>
              <w:left w:val="nil"/>
              <w:bottom w:val="single" w:sz="4" w:space="0" w:color="auto"/>
              <w:right w:val="nil"/>
            </w:tcBorders>
            <w:vAlign w:val="center"/>
            <w:hideMark/>
          </w:tcPr>
          <w:p w14:paraId="0A6BB6D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B</w:t>
            </w:r>
          </w:p>
        </w:tc>
        <w:tc>
          <w:tcPr>
            <w:tcW w:w="379" w:type="pct"/>
            <w:tcBorders>
              <w:top w:val="single" w:sz="4" w:space="0" w:color="auto"/>
              <w:left w:val="nil"/>
              <w:bottom w:val="single" w:sz="4" w:space="0" w:color="auto"/>
              <w:right w:val="nil"/>
            </w:tcBorders>
            <w:vAlign w:val="center"/>
            <w:hideMark/>
          </w:tcPr>
          <w:p w14:paraId="6151FB91" w14:textId="377D37F7" w:rsidR="00171BC2" w:rsidRPr="006D7DCA" w:rsidRDefault="00DA2A9B"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DE</w:t>
            </w:r>
          </w:p>
        </w:tc>
        <w:tc>
          <w:tcPr>
            <w:tcW w:w="617" w:type="pct"/>
            <w:tcBorders>
              <w:top w:val="single" w:sz="4" w:space="0" w:color="auto"/>
              <w:left w:val="nil"/>
              <w:bottom w:val="single" w:sz="4" w:space="0" w:color="auto"/>
              <w:right w:val="nil"/>
            </w:tcBorders>
            <w:vAlign w:val="center"/>
            <w:hideMark/>
          </w:tcPr>
          <w:p w14:paraId="212CE2FD" w14:textId="21A4F78F" w:rsidR="00171BC2" w:rsidRPr="006D7DCA" w:rsidRDefault="00DA2A9B"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β estandarizado</w:t>
            </w:r>
          </w:p>
        </w:tc>
        <w:tc>
          <w:tcPr>
            <w:tcW w:w="477" w:type="pct"/>
            <w:tcBorders>
              <w:top w:val="single" w:sz="4" w:space="0" w:color="auto"/>
              <w:left w:val="nil"/>
              <w:bottom w:val="single" w:sz="4" w:space="0" w:color="auto"/>
              <w:right w:val="nil"/>
            </w:tcBorders>
            <w:vAlign w:val="center"/>
            <w:hideMark/>
          </w:tcPr>
          <w:p w14:paraId="520CBA4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t</w:t>
            </w:r>
          </w:p>
        </w:tc>
        <w:tc>
          <w:tcPr>
            <w:tcW w:w="480" w:type="pct"/>
            <w:tcBorders>
              <w:top w:val="single" w:sz="4" w:space="0" w:color="auto"/>
              <w:left w:val="nil"/>
              <w:bottom w:val="single" w:sz="4" w:space="0" w:color="auto"/>
              <w:right w:val="nil"/>
            </w:tcBorders>
            <w:vAlign w:val="center"/>
            <w:hideMark/>
          </w:tcPr>
          <w:p w14:paraId="4D543D98" w14:textId="0F59F730" w:rsidR="00171BC2" w:rsidRPr="006D7DCA" w:rsidRDefault="00DE401D"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P valor</w:t>
            </w:r>
          </w:p>
        </w:tc>
        <w:tc>
          <w:tcPr>
            <w:tcW w:w="651" w:type="pct"/>
            <w:tcBorders>
              <w:top w:val="single" w:sz="4" w:space="0" w:color="auto"/>
              <w:left w:val="nil"/>
              <w:bottom w:val="single" w:sz="4" w:space="0" w:color="auto"/>
              <w:right w:val="nil"/>
            </w:tcBorders>
            <w:vAlign w:val="center"/>
            <w:hideMark/>
          </w:tcPr>
          <w:p w14:paraId="33CBC25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R</w:t>
            </w:r>
            <w:r w:rsidRPr="006D7DCA">
              <w:rPr>
                <w:rFonts w:ascii="Times New Roman" w:eastAsia="Calibri" w:hAnsi="Times New Roman" w:cs="Times New Roman"/>
                <w:sz w:val="16"/>
                <w:szCs w:val="16"/>
                <w:vertAlign w:val="superscript"/>
              </w:rPr>
              <w:t xml:space="preserve">2 </w:t>
            </w:r>
            <w:r w:rsidRPr="006D7DCA">
              <w:rPr>
                <w:rFonts w:ascii="Times New Roman" w:eastAsia="Calibri" w:hAnsi="Times New Roman" w:cs="Times New Roman"/>
                <w:sz w:val="16"/>
                <w:szCs w:val="16"/>
              </w:rPr>
              <w:t>ajustado</w:t>
            </w:r>
          </w:p>
        </w:tc>
      </w:tr>
      <w:tr w:rsidR="006D7DCA" w:rsidRPr="006D7DCA" w14:paraId="25C117F8" w14:textId="77777777" w:rsidTr="00646185">
        <w:trPr>
          <w:trHeight w:val="410"/>
        </w:trPr>
        <w:tc>
          <w:tcPr>
            <w:tcW w:w="5000" w:type="pct"/>
            <w:gridSpan w:val="7"/>
            <w:tcBorders>
              <w:top w:val="single" w:sz="4" w:space="0" w:color="auto"/>
              <w:left w:val="nil"/>
              <w:bottom w:val="single" w:sz="4" w:space="0" w:color="auto"/>
              <w:right w:val="nil"/>
            </w:tcBorders>
            <w:vAlign w:val="center"/>
          </w:tcPr>
          <w:p w14:paraId="0D30D752" w14:textId="50298719" w:rsidR="00646185" w:rsidRPr="006D7DCA" w:rsidRDefault="00646185"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Estrés</w:t>
            </w:r>
          </w:p>
        </w:tc>
      </w:tr>
      <w:tr w:rsidR="006D7DCA" w:rsidRPr="006D7DCA" w14:paraId="0DA15B21" w14:textId="77777777" w:rsidTr="00646185">
        <w:trPr>
          <w:trHeight w:val="340"/>
        </w:trPr>
        <w:tc>
          <w:tcPr>
            <w:tcW w:w="1976" w:type="pct"/>
            <w:tcBorders>
              <w:top w:val="single" w:sz="4" w:space="0" w:color="auto"/>
              <w:left w:val="nil"/>
              <w:bottom w:val="nil"/>
              <w:right w:val="nil"/>
            </w:tcBorders>
            <w:vAlign w:val="center"/>
            <w:hideMark/>
          </w:tcPr>
          <w:p w14:paraId="22DFAAEA" w14:textId="19302B52" w:rsidR="00171BC2" w:rsidRPr="006D7DCA" w:rsidRDefault="00AB457C"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Calidad de sueño</w:t>
            </w:r>
          </w:p>
        </w:tc>
        <w:tc>
          <w:tcPr>
            <w:tcW w:w="420" w:type="pct"/>
            <w:tcBorders>
              <w:top w:val="single" w:sz="4" w:space="0" w:color="auto"/>
              <w:left w:val="nil"/>
              <w:bottom w:val="nil"/>
              <w:right w:val="nil"/>
            </w:tcBorders>
            <w:vAlign w:val="center"/>
            <w:hideMark/>
          </w:tcPr>
          <w:p w14:paraId="79ACA10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1.068</w:t>
            </w:r>
          </w:p>
        </w:tc>
        <w:tc>
          <w:tcPr>
            <w:tcW w:w="379" w:type="pct"/>
            <w:tcBorders>
              <w:top w:val="single" w:sz="4" w:space="0" w:color="auto"/>
              <w:left w:val="nil"/>
              <w:bottom w:val="nil"/>
              <w:right w:val="nil"/>
            </w:tcBorders>
            <w:vAlign w:val="center"/>
            <w:hideMark/>
          </w:tcPr>
          <w:p w14:paraId="6EA9A6E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0.045</w:t>
            </w:r>
          </w:p>
        </w:tc>
        <w:tc>
          <w:tcPr>
            <w:tcW w:w="617" w:type="pct"/>
            <w:tcBorders>
              <w:top w:val="single" w:sz="4" w:space="0" w:color="auto"/>
              <w:left w:val="nil"/>
              <w:bottom w:val="nil"/>
              <w:right w:val="nil"/>
            </w:tcBorders>
            <w:vAlign w:val="center"/>
            <w:hideMark/>
          </w:tcPr>
          <w:p w14:paraId="7D761D8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0.425</w:t>
            </w:r>
          </w:p>
        </w:tc>
        <w:tc>
          <w:tcPr>
            <w:tcW w:w="477" w:type="pct"/>
            <w:tcBorders>
              <w:top w:val="single" w:sz="4" w:space="0" w:color="auto"/>
              <w:left w:val="nil"/>
              <w:bottom w:val="nil"/>
              <w:right w:val="nil"/>
            </w:tcBorders>
            <w:vAlign w:val="center"/>
            <w:hideMark/>
          </w:tcPr>
          <w:p w14:paraId="3757A3E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23.624</w:t>
            </w:r>
          </w:p>
        </w:tc>
        <w:tc>
          <w:tcPr>
            <w:tcW w:w="480" w:type="pct"/>
            <w:tcBorders>
              <w:top w:val="single" w:sz="4" w:space="0" w:color="auto"/>
              <w:left w:val="nil"/>
              <w:bottom w:val="nil"/>
              <w:right w:val="nil"/>
            </w:tcBorders>
            <w:vAlign w:val="center"/>
            <w:hideMark/>
          </w:tcPr>
          <w:p w14:paraId="3836AE8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651" w:type="pct"/>
            <w:vMerge w:val="restart"/>
            <w:tcBorders>
              <w:top w:val="single" w:sz="4" w:space="0" w:color="auto"/>
              <w:left w:val="nil"/>
              <w:bottom w:val="single" w:sz="4" w:space="0" w:color="auto"/>
              <w:right w:val="nil"/>
            </w:tcBorders>
            <w:vAlign w:val="center"/>
            <w:hideMark/>
          </w:tcPr>
          <w:p w14:paraId="24D15472"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.353</w:t>
            </w:r>
          </w:p>
        </w:tc>
      </w:tr>
      <w:tr w:rsidR="006D7DCA" w:rsidRPr="006D7DCA" w14:paraId="7A2D1FE5" w14:textId="77777777" w:rsidTr="00646185">
        <w:trPr>
          <w:trHeight w:val="340"/>
        </w:trPr>
        <w:tc>
          <w:tcPr>
            <w:tcW w:w="1976" w:type="pct"/>
            <w:tcBorders>
              <w:top w:val="nil"/>
              <w:left w:val="nil"/>
              <w:bottom w:val="nil"/>
              <w:right w:val="nil"/>
            </w:tcBorders>
            <w:vAlign w:val="center"/>
            <w:hideMark/>
          </w:tcPr>
          <w:p w14:paraId="0231BFEF"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Afrontamiento. Planificación </w:t>
            </w:r>
          </w:p>
        </w:tc>
        <w:tc>
          <w:tcPr>
            <w:tcW w:w="420" w:type="pct"/>
            <w:tcBorders>
              <w:top w:val="nil"/>
              <w:left w:val="nil"/>
              <w:bottom w:val="nil"/>
              <w:right w:val="nil"/>
            </w:tcBorders>
            <w:vAlign w:val="center"/>
            <w:hideMark/>
          </w:tcPr>
          <w:p w14:paraId="499CD71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-0.144</w:t>
            </w:r>
          </w:p>
        </w:tc>
        <w:tc>
          <w:tcPr>
            <w:tcW w:w="379" w:type="pct"/>
            <w:tcBorders>
              <w:top w:val="nil"/>
              <w:left w:val="nil"/>
              <w:bottom w:val="nil"/>
              <w:right w:val="nil"/>
            </w:tcBorders>
            <w:vAlign w:val="center"/>
            <w:hideMark/>
          </w:tcPr>
          <w:p w14:paraId="20F56295"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0.028</w:t>
            </w:r>
          </w:p>
        </w:tc>
        <w:tc>
          <w:tcPr>
            <w:tcW w:w="617" w:type="pct"/>
            <w:tcBorders>
              <w:top w:val="nil"/>
              <w:left w:val="nil"/>
              <w:bottom w:val="nil"/>
              <w:right w:val="nil"/>
            </w:tcBorders>
            <w:vAlign w:val="center"/>
            <w:hideMark/>
          </w:tcPr>
          <w:p w14:paraId="00D3BFF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-0.096</w:t>
            </w:r>
          </w:p>
        </w:tc>
        <w:tc>
          <w:tcPr>
            <w:tcW w:w="477" w:type="pct"/>
            <w:tcBorders>
              <w:top w:val="nil"/>
              <w:left w:val="nil"/>
              <w:bottom w:val="nil"/>
              <w:right w:val="nil"/>
            </w:tcBorders>
            <w:vAlign w:val="center"/>
            <w:hideMark/>
          </w:tcPr>
          <w:p w14:paraId="5677B49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-5.053</w:t>
            </w:r>
          </w:p>
        </w:tc>
        <w:tc>
          <w:tcPr>
            <w:tcW w:w="480" w:type="pct"/>
            <w:tcBorders>
              <w:top w:val="nil"/>
              <w:left w:val="nil"/>
              <w:bottom w:val="nil"/>
              <w:right w:val="nil"/>
            </w:tcBorders>
            <w:vAlign w:val="center"/>
            <w:hideMark/>
          </w:tcPr>
          <w:p w14:paraId="4958644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0" w:type="auto"/>
            <w:vMerge/>
            <w:tcBorders>
              <w:top w:val="nil"/>
              <w:left w:val="nil"/>
              <w:bottom w:val="single" w:sz="4" w:space="0" w:color="auto"/>
              <w:right w:val="nil"/>
            </w:tcBorders>
            <w:vAlign w:val="center"/>
            <w:hideMark/>
          </w:tcPr>
          <w:p w14:paraId="5F0C6936" w14:textId="77777777" w:rsidR="00171BC2" w:rsidRPr="006D7DCA" w:rsidRDefault="00171BC2" w:rsidP="00171BC2">
            <w:pPr>
              <w:spacing w:after="0" w:line="256" w:lineRule="auto"/>
              <w:rPr>
                <w:rFonts w:ascii="Times New Roman" w:eastAsia="Calibri" w:hAnsi="Times New Roman" w:cs="Times New Roman"/>
                <w:sz w:val="16"/>
                <w:szCs w:val="16"/>
              </w:rPr>
            </w:pPr>
          </w:p>
        </w:tc>
      </w:tr>
      <w:tr w:rsidR="006D7DCA" w:rsidRPr="006D7DCA" w14:paraId="46BEB688" w14:textId="77777777" w:rsidTr="00646185">
        <w:trPr>
          <w:trHeight w:val="340"/>
        </w:trPr>
        <w:tc>
          <w:tcPr>
            <w:tcW w:w="1976" w:type="pct"/>
            <w:tcBorders>
              <w:top w:val="nil"/>
              <w:left w:val="nil"/>
              <w:bottom w:val="nil"/>
              <w:right w:val="nil"/>
            </w:tcBorders>
            <w:vAlign w:val="center"/>
            <w:hideMark/>
          </w:tcPr>
          <w:p w14:paraId="302D87E2"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Burnout. Agotamiento emocional</w:t>
            </w:r>
          </w:p>
        </w:tc>
        <w:tc>
          <w:tcPr>
            <w:tcW w:w="420" w:type="pct"/>
            <w:tcBorders>
              <w:top w:val="nil"/>
              <w:left w:val="nil"/>
              <w:bottom w:val="nil"/>
              <w:right w:val="nil"/>
            </w:tcBorders>
            <w:vAlign w:val="center"/>
            <w:hideMark/>
          </w:tcPr>
          <w:p w14:paraId="5DC2ADF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0.274</w:t>
            </w:r>
          </w:p>
        </w:tc>
        <w:tc>
          <w:tcPr>
            <w:tcW w:w="379" w:type="pct"/>
            <w:tcBorders>
              <w:top w:val="nil"/>
              <w:left w:val="nil"/>
              <w:bottom w:val="nil"/>
              <w:right w:val="nil"/>
            </w:tcBorders>
            <w:vAlign w:val="center"/>
            <w:hideMark/>
          </w:tcPr>
          <w:p w14:paraId="10988D7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0.020</w:t>
            </w:r>
          </w:p>
        </w:tc>
        <w:tc>
          <w:tcPr>
            <w:tcW w:w="617" w:type="pct"/>
            <w:tcBorders>
              <w:top w:val="nil"/>
              <w:left w:val="nil"/>
              <w:bottom w:val="nil"/>
              <w:right w:val="nil"/>
            </w:tcBorders>
            <w:vAlign w:val="center"/>
            <w:hideMark/>
          </w:tcPr>
          <w:p w14:paraId="4776B7B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0.248</w:t>
            </w:r>
          </w:p>
        </w:tc>
        <w:tc>
          <w:tcPr>
            <w:tcW w:w="477" w:type="pct"/>
            <w:tcBorders>
              <w:top w:val="nil"/>
              <w:left w:val="nil"/>
              <w:bottom w:val="nil"/>
              <w:right w:val="nil"/>
            </w:tcBorders>
            <w:vAlign w:val="center"/>
            <w:hideMark/>
          </w:tcPr>
          <w:p w14:paraId="3072998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13.808</w:t>
            </w:r>
          </w:p>
        </w:tc>
        <w:tc>
          <w:tcPr>
            <w:tcW w:w="480" w:type="pct"/>
            <w:tcBorders>
              <w:top w:val="nil"/>
              <w:left w:val="nil"/>
              <w:bottom w:val="nil"/>
              <w:right w:val="nil"/>
            </w:tcBorders>
            <w:vAlign w:val="center"/>
            <w:hideMark/>
          </w:tcPr>
          <w:p w14:paraId="3778DD22"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0" w:type="auto"/>
            <w:vMerge/>
            <w:tcBorders>
              <w:top w:val="nil"/>
              <w:left w:val="nil"/>
              <w:bottom w:val="single" w:sz="4" w:space="0" w:color="auto"/>
              <w:right w:val="nil"/>
            </w:tcBorders>
            <w:vAlign w:val="center"/>
            <w:hideMark/>
          </w:tcPr>
          <w:p w14:paraId="32C83C51" w14:textId="77777777" w:rsidR="00171BC2" w:rsidRPr="006D7DCA" w:rsidRDefault="00171BC2" w:rsidP="00171BC2">
            <w:pPr>
              <w:spacing w:after="0" w:line="256" w:lineRule="auto"/>
              <w:rPr>
                <w:rFonts w:ascii="Times New Roman" w:eastAsia="Calibri" w:hAnsi="Times New Roman" w:cs="Times New Roman"/>
                <w:sz w:val="16"/>
                <w:szCs w:val="16"/>
              </w:rPr>
            </w:pPr>
          </w:p>
        </w:tc>
      </w:tr>
      <w:tr w:rsidR="006D7DCA" w:rsidRPr="006D7DCA" w14:paraId="4FC44EBB" w14:textId="77777777" w:rsidTr="00646185">
        <w:trPr>
          <w:trHeight w:val="340"/>
        </w:trPr>
        <w:tc>
          <w:tcPr>
            <w:tcW w:w="1976" w:type="pct"/>
            <w:tcBorders>
              <w:top w:val="nil"/>
              <w:left w:val="nil"/>
              <w:bottom w:val="single" w:sz="4" w:space="0" w:color="auto"/>
              <w:right w:val="nil"/>
            </w:tcBorders>
            <w:vAlign w:val="center"/>
            <w:hideMark/>
          </w:tcPr>
          <w:p w14:paraId="1D6D67B5" w14:textId="77777777" w:rsidR="00171BC2" w:rsidRPr="006D7DCA" w:rsidRDefault="00171BC2" w:rsidP="00171BC2">
            <w:pPr>
              <w:spacing w:after="0" w:line="256" w:lineRule="auto"/>
              <w:rPr>
                <w:rFonts w:ascii="Times New Roman" w:eastAsia="Calibri" w:hAnsi="Times New Roman" w:cs="Times New Roman"/>
                <w:sz w:val="16"/>
                <w:szCs w:val="16"/>
              </w:rPr>
            </w:pPr>
            <w:proofErr w:type="spellStart"/>
            <w:r w:rsidRPr="006D7DCA">
              <w:rPr>
                <w:rFonts w:ascii="Times New Roman" w:eastAsia="Calibri" w:hAnsi="Times New Roman" w:cs="Times New Roman"/>
                <w:sz w:val="16"/>
                <w:szCs w:val="16"/>
              </w:rPr>
              <w:t>Engagement</w:t>
            </w:r>
            <w:proofErr w:type="spellEnd"/>
            <w:r w:rsidRPr="006D7DCA">
              <w:rPr>
                <w:rFonts w:ascii="Times New Roman" w:eastAsia="Calibri" w:hAnsi="Times New Roman" w:cs="Times New Roman"/>
                <w:sz w:val="16"/>
                <w:szCs w:val="16"/>
              </w:rPr>
              <w:t>. Vigor</w:t>
            </w:r>
          </w:p>
        </w:tc>
        <w:tc>
          <w:tcPr>
            <w:tcW w:w="420" w:type="pct"/>
            <w:tcBorders>
              <w:top w:val="nil"/>
              <w:left w:val="nil"/>
              <w:bottom w:val="single" w:sz="4" w:space="0" w:color="auto"/>
              <w:right w:val="nil"/>
            </w:tcBorders>
            <w:vAlign w:val="center"/>
            <w:hideMark/>
          </w:tcPr>
          <w:p w14:paraId="09305E9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-0.156</w:t>
            </w:r>
          </w:p>
        </w:tc>
        <w:tc>
          <w:tcPr>
            <w:tcW w:w="379" w:type="pct"/>
            <w:tcBorders>
              <w:top w:val="nil"/>
              <w:left w:val="nil"/>
              <w:bottom w:val="single" w:sz="4" w:space="0" w:color="auto"/>
              <w:right w:val="nil"/>
            </w:tcBorders>
            <w:vAlign w:val="center"/>
            <w:hideMark/>
          </w:tcPr>
          <w:p w14:paraId="1FA9F73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0.038</w:t>
            </w:r>
          </w:p>
        </w:tc>
        <w:tc>
          <w:tcPr>
            <w:tcW w:w="617" w:type="pct"/>
            <w:tcBorders>
              <w:top w:val="nil"/>
              <w:left w:val="nil"/>
              <w:bottom w:val="single" w:sz="4" w:space="0" w:color="auto"/>
              <w:right w:val="nil"/>
            </w:tcBorders>
            <w:vAlign w:val="center"/>
            <w:hideMark/>
          </w:tcPr>
          <w:p w14:paraId="567EA8F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-0.079</w:t>
            </w:r>
          </w:p>
        </w:tc>
        <w:tc>
          <w:tcPr>
            <w:tcW w:w="477" w:type="pct"/>
            <w:tcBorders>
              <w:top w:val="nil"/>
              <w:left w:val="nil"/>
              <w:bottom w:val="single" w:sz="4" w:space="0" w:color="auto"/>
              <w:right w:val="nil"/>
            </w:tcBorders>
            <w:vAlign w:val="center"/>
            <w:hideMark/>
          </w:tcPr>
          <w:p w14:paraId="5424E25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-4.112</w:t>
            </w:r>
          </w:p>
        </w:tc>
        <w:tc>
          <w:tcPr>
            <w:tcW w:w="480" w:type="pct"/>
            <w:tcBorders>
              <w:top w:val="nil"/>
              <w:left w:val="nil"/>
              <w:bottom w:val="single" w:sz="4" w:space="0" w:color="auto"/>
              <w:right w:val="nil"/>
            </w:tcBorders>
            <w:vAlign w:val="center"/>
            <w:hideMark/>
          </w:tcPr>
          <w:p w14:paraId="260C494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Times New Roman" w:hAnsi="Times New Roman" w:cs="Times New Roman"/>
                <w:sz w:val="16"/>
                <w:szCs w:val="16"/>
              </w:rPr>
              <w:t>&lt; 0.001</w:t>
            </w:r>
          </w:p>
        </w:tc>
        <w:tc>
          <w:tcPr>
            <w:tcW w:w="0" w:type="auto"/>
            <w:vMerge/>
            <w:tcBorders>
              <w:top w:val="nil"/>
              <w:left w:val="nil"/>
              <w:bottom w:val="single" w:sz="4" w:space="0" w:color="auto"/>
              <w:right w:val="nil"/>
            </w:tcBorders>
            <w:vAlign w:val="center"/>
            <w:hideMark/>
          </w:tcPr>
          <w:p w14:paraId="4063CD35" w14:textId="77777777" w:rsidR="00171BC2" w:rsidRPr="006D7DCA" w:rsidRDefault="00171BC2" w:rsidP="00171BC2">
            <w:pPr>
              <w:spacing w:after="0" w:line="256" w:lineRule="auto"/>
              <w:rPr>
                <w:rFonts w:ascii="Times New Roman" w:eastAsia="Calibri" w:hAnsi="Times New Roman" w:cs="Times New Roman"/>
                <w:sz w:val="16"/>
                <w:szCs w:val="16"/>
              </w:rPr>
            </w:pPr>
          </w:p>
        </w:tc>
      </w:tr>
      <w:tr w:rsidR="006D7DCA" w:rsidRPr="006D7DCA" w14:paraId="4E2A7831" w14:textId="77777777" w:rsidTr="00646185">
        <w:trPr>
          <w:trHeight w:val="436"/>
        </w:trPr>
        <w:tc>
          <w:tcPr>
            <w:tcW w:w="5000" w:type="pct"/>
            <w:gridSpan w:val="7"/>
            <w:tcBorders>
              <w:top w:val="single" w:sz="4" w:space="0" w:color="auto"/>
              <w:left w:val="nil"/>
              <w:bottom w:val="single" w:sz="4" w:space="0" w:color="auto"/>
              <w:right w:val="nil"/>
            </w:tcBorders>
            <w:vAlign w:val="center"/>
            <w:hideMark/>
          </w:tcPr>
          <w:p w14:paraId="390D4C07" w14:textId="34612FFF" w:rsidR="00171BC2"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Ansiedad</w:t>
            </w:r>
          </w:p>
        </w:tc>
      </w:tr>
      <w:tr w:rsidR="006D7DCA" w:rsidRPr="006D7DCA" w14:paraId="35843F6D" w14:textId="77777777" w:rsidTr="00646185">
        <w:trPr>
          <w:trHeight w:val="340"/>
        </w:trPr>
        <w:tc>
          <w:tcPr>
            <w:tcW w:w="1976" w:type="pct"/>
            <w:tcBorders>
              <w:top w:val="single" w:sz="4" w:space="0" w:color="auto"/>
              <w:left w:val="nil"/>
              <w:bottom w:val="nil"/>
              <w:right w:val="nil"/>
            </w:tcBorders>
            <w:vAlign w:val="center"/>
            <w:hideMark/>
          </w:tcPr>
          <w:p w14:paraId="4E51CCDC"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Dieta Mediterránea</w:t>
            </w:r>
          </w:p>
        </w:tc>
        <w:tc>
          <w:tcPr>
            <w:tcW w:w="420" w:type="pct"/>
            <w:tcBorders>
              <w:top w:val="single" w:sz="4" w:space="0" w:color="auto"/>
              <w:left w:val="nil"/>
              <w:bottom w:val="nil"/>
              <w:right w:val="nil"/>
            </w:tcBorders>
            <w:vAlign w:val="center"/>
            <w:hideMark/>
          </w:tcPr>
          <w:p w14:paraId="332D04B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-0.150</w:t>
            </w:r>
          </w:p>
        </w:tc>
        <w:tc>
          <w:tcPr>
            <w:tcW w:w="379" w:type="pct"/>
            <w:tcBorders>
              <w:top w:val="single" w:sz="4" w:space="0" w:color="auto"/>
              <w:left w:val="nil"/>
              <w:bottom w:val="nil"/>
              <w:right w:val="nil"/>
            </w:tcBorders>
            <w:vAlign w:val="center"/>
            <w:hideMark/>
          </w:tcPr>
          <w:p w14:paraId="6119BBF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0.073</w:t>
            </w:r>
          </w:p>
        </w:tc>
        <w:tc>
          <w:tcPr>
            <w:tcW w:w="617" w:type="pct"/>
            <w:tcBorders>
              <w:top w:val="single" w:sz="4" w:space="0" w:color="auto"/>
              <w:left w:val="nil"/>
              <w:bottom w:val="nil"/>
              <w:right w:val="nil"/>
            </w:tcBorders>
            <w:vAlign w:val="center"/>
            <w:hideMark/>
          </w:tcPr>
          <w:p w14:paraId="334BC48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-0.039</w:t>
            </w:r>
          </w:p>
        </w:tc>
        <w:tc>
          <w:tcPr>
            <w:tcW w:w="477" w:type="pct"/>
            <w:tcBorders>
              <w:top w:val="single" w:sz="4" w:space="0" w:color="auto"/>
              <w:left w:val="nil"/>
              <w:bottom w:val="nil"/>
              <w:right w:val="nil"/>
            </w:tcBorders>
            <w:vAlign w:val="center"/>
            <w:hideMark/>
          </w:tcPr>
          <w:p w14:paraId="7CBF167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-2.070</w:t>
            </w:r>
          </w:p>
        </w:tc>
        <w:tc>
          <w:tcPr>
            <w:tcW w:w="480" w:type="pct"/>
            <w:tcBorders>
              <w:top w:val="single" w:sz="4" w:space="0" w:color="auto"/>
              <w:left w:val="nil"/>
              <w:bottom w:val="nil"/>
              <w:right w:val="nil"/>
            </w:tcBorders>
            <w:vAlign w:val="center"/>
            <w:hideMark/>
          </w:tcPr>
          <w:p w14:paraId="49CD4ECF"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0,039</w:t>
            </w:r>
          </w:p>
        </w:tc>
        <w:tc>
          <w:tcPr>
            <w:tcW w:w="651" w:type="pct"/>
            <w:vMerge w:val="restart"/>
            <w:tcBorders>
              <w:top w:val="single" w:sz="4" w:space="0" w:color="auto"/>
              <w:left w:val="nil"/>
              <w:bottom w:val="single" w:sz="4" w:space="0" w:color="auto"/>
              <w:right w:val="nil"/>
            </w:tcBorders>
            <w:vAlign w:val="center"/>
            <w:hideMark/>
          </w:tcPr>
          <w:p w14:paraId="64553FF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.254</w:t>
            </w:r>
          </w:p>
        </w:tc>
      </w:tr>
      <w:tr w:rsidR="006D7DCA" w:rsidRPr="006D7DCA" w14:paraId="06237F36" w14:textId="77777777" w:rsidTr="00646185">
        <w:trPr>
          <w:trHeight w:val="340"/>
        </w:trPr>
        <w:tc>
          <w:tcPr>
            <w:tcW w:w="1976" w:type="pct"/>
            <w:tcBorders>
              <w:top w:val="nil"/>
              <w:left w:val="nil"/>
              <w:bottom w:val="nil"/>
              <w:right w:val="nil"/>
            </w:tcBorders>
            <w:vAlign w:val="center"/>
            <w:hideMark/>
          </w:tcPr>
          <w:p w14:paraId="2D81F7C3" w14:textId="3A1C3F06" w:rsidR="00171BC2" w:rsidRPr="006D7DCA" w:rsidRDefault="00AB457C"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Calidad de sueño</w:t>
            </w:r>
          </w:p>
        </w:tc>
        <w:tc>
          <w:tcPr>
            <w:tcW w:w="420" w:type="pct"/>
            <w:tcBorders>
              <w:top w:val="nil"/>
              <w:left w:val="nil"/>
              <w:bottom w:val="nil"/>
              <w:right w:val="nil"/>
            </w:tcBorders>
            <w:vAlign w:val="center"/>
            <w:hideMark/>
          </w:tcPr>
          <w:p w14:paraId="6E0AD266"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0.857</w:t>
            </w:r>
          </w:p>
        </w:tc>
        <w:tc>
          <w:tcPr>
            <w:tcW w:w="379" w:type="pct"/>
            <w:tcBorders>
              <w:top w:val="nil"/>
              <w:left w:val="nil"/>
              <w:bottom w:val="nil"/>
              <w:right w:val="nil"/>
            </w:tcBorders>
            <w:vAlign w:val="center"/>
            <w:hideMark/>
          </w:tcPr>
          <w:p w14:paraId="303675B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0.038</w:t>
            </w:r>
          </w:p>
        </w:tc>
        <w:tc>
          <w:tcPr>
            <w:tcW w:w="617" w:type="pct"/>
            <w:tcBorders>
              <w:top w:val="nil"/>
              <w:left w:val="nil"/>
              <w:bottom w:val="nil"/>
              <w:right w:val="nil"/>
            </w:tcBorders>
            <w:vAlign w:val="center"/>
            <w:hideMark/>
          </w:tcPr>
          <w:p w14:paraId="344F8FAE"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0.425</w:t>
            </w:r>
          </w:p>
        </w:tc>
        <w:tc>
          <w:tcPr>
            <w:tcW w:w="477" w:type="pct"/>
            <w:tcBorders>
              <w:top w:val="nil"/>
              <w:left w:val="nil"/>
              <w:bottom w:val="nil"/>
              <w:right w:val="nil"/>
            </w:tcBorders>
            <w:vAlign w:val="center"/>
            <w:hideMark/>
          </w:tcPr>
          <w:p w14:paraId="6B47CCA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22.604</w:t>
            </w:r>
          </w:p>
        </w:tc>
        <w:tc>
          <w:tcPr>
            <w:tcW w:w="480" w:type="pct"/>
            <w:tcBorders>
              <w:top w:val="nil"/>
              <w:left w:val="nil"/>
              <w:bottom w:val="nil"/>
              <w:right w:val="nil"/>
            </w:tcBorders>
            <w:vAlign w:val="center"/>
            <w:hideMark/>
          </w:tcPr>
          <w:p w14:paraId="3C82A5E4"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0" w:type="auto"/>
            <w:vMerge/>
            <w:tcBorders>
              <w:top w:val="single" w:sz="4" w:space="0" w:color="auto"/>
              <w:left w:val="nil"/>
              <w:bottom w:val="single" w:sz="4" w:space="0" w:color="auto"/>
              <w:right w:val="nil"/>
            </w:tcBorders>
            <w:vAlign w:val="center"/>
            <w:hideMark/>
          </w:tcPr>
          <w:p w14:paraId="7B22EE79" w14:textId="77777777" w:rsidR="00171BC2" w:rsidRPr="006D7DCA" w:rsidRDefault="00171BC2" w:rsidP="00171BC2">
            <w:pPr>
              <w:spacing w:after="0" w:line="256" w:lineRule="auto"/>
              <w:rPr>
                <w:rFonts w:ascii="Times New Roman" w:eastAsia="Calibri" w:hAnsi="Times New Roman" w:cs="Times New Roman"/>
                <w:sz w:val="16"/>
                <w:szCs w:val="16"/>
              </w:rPr>
            </w:pPr>
          </w:p>
        </w:tc>
      </w:tr>
      <w:tr w:rsidR="006D7DCA" w:rsidRPr="006D7DCA" w14:paraId="15597D62" w14:textId="77777777" w:rsidTr="00646185">
        <w:trPr>
          <w:trHeight w:val="340"/>
        </w:trPr>
        <w:tc>
          <w:tcPr>
            <w:tcW w:w="1976" w:type="pct"/>
            <w:tcBorders>
              <w:top w:val="nil"/>
              <w:left w:val="nil"/>
              <w:bottom w:val="nil"/>
              <w:right w:val="nil"/>
            </w:tcBorders>
            <w:vAlign w:val="center"/>
            <w:hideMark/>
          </w:tcPr>
          <w:p w14:paraId="1AD3F9C9"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Procrastinación</w:t>
            </w:r>
          </w:p>
        </w:tc>
        <w:tc>
          <w:tcPr>
            <w:tcW w:w="420" w:type="pct"/>
            <w:tcBorders>
              <w:top w:val="nil"/>
              <w:left w:val="nil"/>
              <w:bottom w:val="nil"/>
              <w:right w:val="nil"/>
            </w:tcBorders>
            <w:vAlign w:val="center"/>
            <w:hideMark/>
          </w:tcPr>
          <w:p w14:paraId="51224C3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0.094</w:t>
            </w:r>
          </w:p>
        </w:tc>
        <w:tc>
          <w:tcPr>
            <w:tcW w:w="379" w:type="pct"/>
            <w:tcBorders>
              <w:top w:val="nil"/>
              <w:left w:val="nil"/>
              <w:bottom w:val="nil"/>
              <w:right w:val="nil"/>
            </w:tcBorders>
            <w:vAlign w:val="center"/>
            <w:hideMark/>
          </w:tcPr>
          <w:p w14:paraId="2BD2BCA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0.028</w:t>
            </w:r>
          </w:p>
        </w:tc>
        <w:tc>
          <w:tcPr>
            <w:tcW w:w="617" w:type="pct"/>
            <w:tcBorders>
              <w:top w:val="nil"/>
              <w:left w:val="nil"/>
              <w:bottom w:val="nil"/>
              <w:right w:val="nil"/>
            </w:tcBorders>
            <w:vAlign w:val="center"/>
            <w:hideMark/>
          </w:tcPr>
          <w:p w14:paraId="4E9C81B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0.064</w:t>
            </w:r>
          </w:p>
        </w:tc>
        <w:tc>
          <w:tcPr>
            <w:tcW w:w="477" w:type="pct"/>
            <w:tcBorders>
              <w:top w:val="nil"/>
              <w:left w:val="nil"/>
              <w:bottom w:val="nil"/>
              <w:right w:val="nil"/>
            </w:tcBorders>
            <w:vAlign w:val="center"/>
            <w:hideMark/>
          </w:tcPr>
          <w:p w14:paraId="652895D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3.377</w:t>
            </w:r>
          </w:p>
        </w:tc>
        <w:tc>
          <w:tcPr>
            <w:tcW w:w="480" w:type="pct"/>
            <w:tcBorders>
              <w:top w:val="nil"/>
              <w:left w:val="nil"/>
              <w:bottom w:val="nil"/>
              <w:right w:val="nil"/>
            </w:tcBorders>
            <w:vAlign w:val="center"/>
            <w:hideMark/>
          </w:tcPr>
          <w:p w14:paraId="6109C6A0" w14:textId="2ECC8536"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0</w:t>
            </w:r>
            <w:r w:rsidR="00DE401D" w:rsidRPr="006D7DCA">
              <w:rPr>
                <w:rFonts w:ascii="Times New Roman" w:eastAsia="Calibri" w:hAnsi="Times New Roman" w:cs="Times New Roman"/>
                <w:sz w:val="16"/>
                <w:szCs w:val="16"/>
              </w:rPr>
              <w:t>.</w:t>
            </w:r>
            <w:r w:rsidRPr="006D7DCA">
              <w:rPr>
                <w:rFonts w:ascii="Times New Roman" w:eastAsia="Calibri" w:hAnsi="Times New Roman" w:cs="Times New Roman"/>
                <w:sz w:val="16"/>
                <w:szCs w:val="16"/>
              </w:rPr>
              <w:t>001</w:t>
            </w:r>
          </w:p>
        </w:tc>
        <w:tc>
          <w:tcPr>
            <w:tcW w:w="0" w:type="auto"/>
            <w:vMerge/>
            <w:tcBorders>
              <w:top w:val="single" w:sz="4" w:space="0" w:color="auto"/>
              <w:left w:val="nil"/>
              <w:bottom w:val="single" w:sz="4" w:space="0" w:color="auto"/>
              <w:right w:val="nil"/>
            </w:tcBorders>
            <w:vAlign w:val="center"/>
            <w:hideMark/>
          </w:tcPr>
          <w:p w14:paraId="4F15E0AF" w14:textId="77777777" w:rsidR="00171BC2" w:rsidRPr="006D7DCA" w:rsidRDefault="00171BC2" w:rsidP="00171BC2">
            <w:pPr>
              <w:spacing w:after="0" w:line="256" w:lineRule="auto"/>
              <w:rPr>
                <w:rFonts w:ascii="Times New Roman" w:eastAsia="Calibri" w:hAnsi="Times New Roman" w:cs="Times New Roman"/>
                <w:sz w:val="16"/>
                <w:szCs w:val="16"/>
              </w:rPr>
            </w:pPr>
          </w:p>
        </w:tc>
      </w:tr>
      <w:tr w:rsidR="006D7DCA" w:rsidRPr="006D7DCA" w14:paraId="72CB2D32" w14:textId="77777777" w:rsidTr="00646185">
        <w:trPr>
          <w:trHeight w:val="340"/>
        </w:trPr>
        <w:tc>
          <w:tcPr>
            <w:tcW w:w="1976" w:type="pct"/>
            <w:tcBorders>
              <w:top w:val="nil"/>
              <w:left w:val="nil"/>
              <w:bottom w:val="single" w:sz="4" w:space="0" w:color="auto"/>
              <w:right w:val="nil"/>
            </w:tcBorders>
            <w:vAlign w:val="center"/>
            <w:hideMark/>
          </w:tcPr>
          <w:p w14:paraId="252BC9FB"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Afrontamiento. Reevaluación positiva</w:t>
            </w:r>
          </w:p>
        </w:tc>
        <w:tc>
          <w:tcPr>
            <w:tcW w:w="420" w:type="pct"/>
            <w:tcBorders>
              <w:top w:val="nil"/>
              <w:left w:val="nil"/>
              <w:bottom w:val="single" w:sz="4" w:space="0" w:color="auto"/>
              <w:right w:val="nil"/>
            </w:tcBorders>
            <w:vAlign w:val="center"/>
            <w:hideMark/>
          </w:tcPr>
          <w:p w14:paraId="1BF0709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-0.157</w:t>
            </w:r>
          </w:p>
        </w:tc>
        <w:tc>
          <w:tcPr>
            <w:tcW w:w="379" w:type="pct"/>
            <w:tcBorders>
              <w:top w:val="nil"/>
              <w:left w:val="nil"/>
              <w:bottom w:val="single" w:sz="4" w:space="0" w:color="auto"/>
              <w:right w:val="nil"/>
            </w:tcBorders>
            <w:vAlign w:val="center"/>
            <w:hideMark/>
          </w:tcPr>
          <w:p w14:paraId="721AF7A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0.019</w:t>
            </w:r>
          </w:p>
        </w:tc>
        <w:tc>
          <w:tcPr>
            <w:tcW w:w="617" w:type="pct"/>
            <w:tcBorders>
              <w:top w:val="nil"/>
              <w:left w:val="nil"/>
              <w:bottom w:val="single" w:sz="4" w:space="0" w:color="auto"/>
              <w:right w:val="nil"/>
            </w:tcBorders>
            <w:vAlign w:val="center"/>
            <w:hideMark/>
          </w:tcPr>
          <w:p w14:paraId="0F9B125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-0.164</w:t>
            </w:r>
          </w:p>
        </w:tc>
        <w:tc>
          <w:tcPr>
            <w:tcW w:w="477" w:type="pct"/>
            <w:tcBorders>
              <w:top w:val="nil"/>
              <w:left w:val="nil"/>
              <w:bottom w:val="single" w:sz="4" w:space="0" w:color="auto"/>
              <w:right w:val="nil"/>
            </w:tcBorders>
            <w:vAlign w:val="center"/>
            <w:hideMark/>
          </w:tcPr>
          <w:p w14:paraId="4B1A68B2"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-8.448</w:t>
            </w:r>
          </w:p>
        </w:tc>
        <w:tc>
          <w:tcPr>
            <w:tcW w:w="480" w:type="pct"/>
            <w:tcBorders>
              <w:top w:val="nil"/>
              <w:left w:val="nil"/>
              <w:bottom w:val="single" w:sz="4" w:space="0" w:color="auto"/>
              <w:right w:val="nil"/>
            </w:tcBorders>
            <w:vAlign w:val="center"/>
            <w:hideMark/>
          </w:tcPr>
          <w:p w14:paraId="4F2F4224"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0" w:type="auto"/>
            <w:vMerge/>
            <w:tcBorders>
              <w:top w:val="single" w:sz="4" w:space="0" w:color="auto"/>
              <w:left w:val="nil"/>
              <w:bottom w:val="single" w:sz="4" w:space="0" w:color="auto"/>
              <w:right w:val="nil"/>
            </w:tcBorders>
            <w:vAlign w:val="center"/>
            <w:hideMark/>
          </w:tcPr>
          <w:p w14:paraId="630931DF" w14:textId="77777777" w:rsidR="00171BC2" w:rsidRPr="006D7DCA" w:rsidRDefault="00171BC2" w:rsidP="00171BC2">
            <w:pPr>
              <w:spacing w:after="0" w:line="256" w:lineRule="auto"/>
              <w:rPr>
                <w:rFonts w:ascii="Times New Roman" w:eastAsia="Calibri" w:hAnsi="Times New Roman" w:cs="Times New Roman"/>
                <w:sz w:val="16"/>
                <w:szCs w:val="16"/>
              </w:rPr>
            </w:pPr>
          </w:p>
        </w:tc>
      </w:tr>
      <w:tr w:rsidR="006D7DCA" w:rsidRPr="006D7DCA" w14:paraId="317E7D35" w14:textId="77777777" w:rsidTr="00646185">
        <w:trPr>
          <w:trHeight w:val="420"/>
        </w:trPr>
        <w:tc>
          <w:tcPr>
            <w:tcW w:w="5000" w:type="pct"/>
            <w:gridSpan w:val="7"/>
            <w:tcBorders>
              <w:top w:val="single" w:sz="4" w:space="0" w:color="auto"/>
              <w:left w:val="nil"/>
              <w:bottom w:val="single" w:sz="4" w:space="0" w:color="auto"/>
              <w:right w:val="nil"/>
            </w:tcBorders>
            <w:vAlign w:val="center"/>
            <w:hideMark/>
          </w:tcPr>
          <w:p w14:paraId="7791DAA9" w14:textId="79CA6918" w:rsidR="00171BC2" w:rsidRPr="006D7DCA" w:rsidRDefault="001A3829"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Depresión</w:t>
            </w:r>
          </w:p>
        </w:tc>
      </w:tr>
      <w:tr w:rsidR="006D7DCA" w:rsidRPr="006D7DCA" w14:paraId="6AF20536" w14:textId="77777777" w:rsidTr="00646185">
        <w:trPr>
          <w:trHeight w:val="340"/>
        </w:trPr>
        <w:tc>
          <w:tcPr>
            <w:tcW w:w="1976" w:type="pct"/>
            <w:tcBorders>
              <w:top w:val="single" w:sz="4" w:space="0" w:color="auto"/>
              <w:left w:val="nil"/>
              <w:bottom w:val="nil"/>
              <w:right w:val="nil"/>
            </w:tcBorders>
            <w:vAlign w:val="center"/>
            <w:hideMark/>
          </w:tcPr>
          <w:p w14:paraId="5C961ED0"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 xml:space="preserve">Dieta </w:t>
            </w:r>
            <w:proofErr w:type="spellStart"/>
            <w:r w:rsidRPr="006D7DCA">
              <w:rPr>
                <w:rFonts w:ascii="Times New Roman" w:eastAsia="Calibri" w:hAnsi="Times New Roman" w:cs="Times New Roman"/>
                <w:sz w:val="16"/>
                <w:szCs w:val="16"/>
              </w:rPr>
              <w:t>Mediterranea</w:t>
            </w:r>
            <w:proofErr w:type="spellEnd"/>
          </w:p>
        </w:tc>
        <w:tc>
          <w:tcPr>
            <w:tcW w:w="420" w:type="pct"/>
            <w:tcBorders>
              <w:top w:val="single" w:sz="4" w:space="0" w:color="auto"/>
              <w:left w:val="nil"/>
              <w:bottom w:val="nil"/>
              <w:right w:val="nil"/>
            </w:tcBorders>
            <w:vAlign w:val="center"/>
            <w:hideMark/>
          </w:tcPr>
          <w:p w14:paraId="0628F31F"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-0.278</w:t>
            </w:r>
          </w:p>
        </w:tc>
        <w:tc>
          <w:tcPr>
            <w:tcW w:w="379" w:type="pct"/>
            <w:tcBorders>
              <w:top w:val="single" w:sz="4" w:space="0" w:color="auto"/>
              <w:left w:val="nil"/>
              <w:bottom w:val="nil"/>
              <w:right w:val="nil"/>
            </w:tcBorders>
            <w:vAlign w:val="center"/>
            <w:hideMark/>
          </w:tcPr>
          <w:p w14:paraId="6C03B2C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0.081</w:t>
            </w:r>
          </w:p>
        </w:tc>
        <w:tc>
          <w:tcPr>
            <w:tcW w:w="617" w:type="pct"/>
            <w:tcBorders>
              <w:top w:val="single" w:sz="4" w:space="0" w:color="auto"/>
              <w:left w:val="nil"/>
              <w:bottom w:val="nil"/>
              <w:right w:val="nil"/>
            </w:tcBorders>
            <w:vAlign w:val="center"/>
            <w:hideMark/>
          </w:tcPr>
          <w:p w14:paraId="64EE067B"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-0.064</w:t>
            </w:r>
          </w:p>
        </w:tc>
        <w:tc>
          <w:tcPr>
            <w:tcW w:w="477" w:type="pct"/>
            <w:tcBorders>
              <w:top w:val="single" w:sz="4" w:space="0" w:color="auto"/>
              <w:left w:val="nil"/>
              <w:bottom w:val="nil"/>
              <w:right w:val="nil"/>
            </w:tcBorders>
            <w:vAlign w:val="center"/>
            <w:hideMark/>
          </w:tcPr>
          <w:p w14:paraId="1A7B918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-3.422</w:t>
            </w:r>
          </w:p>
        </w:tc>
        <w:tc>
          <w:tcPr>
            <w:tcW w:w="480" w:type="pct"/>
            <w:tcBorders>
              <w:top w:val="single" w:sz="4" w:space="0" w:color="auto"/>
              <w:left w:val="nil"/>
              <w:bottom w:val="nil"/>
              <w:right w:val="nil"/>
            </w:tcBorders>
            <w:vAlign w:val="center"/>
            <w:hideMark/>
          </w:tcPr>
          <w:p w14:paraId="118995CC" w14:textId="284FE11A"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Calibri" w:hAnsi="Times New Roman" w:cs="Times New Roman"/>
                <w:sz w:val="16"/>
                <w:szCs w:val="16"/>
              </w:rPr>
              <w:t>0</w:t>
            </w:r>
            <w:r w:rsidR="00DE401D" w:rsidRPr="006D7DCA">
              <w:rPr>
                <w:rFonts w:ascii="Times New Roman" w:eastAsia="Calibri" w:hAnsi="Times New Roman" w:cs="Times New Roman"/>
                <w:sz w:val="16"/>
                <w:szCs w:val="16"/>
              </w:rPr>
              <w:t>.</w:t>
            </w:r>
            <w:r w:rsidRPr="006D7DCA">
              <w:rPr>
                <w:rFonts w:ascii="Times New Roman" w:eastAsia="Calibri" w:hAnsi="Times New Roman" w:cs="Times New Roman"/>
                <w:sz w:val="16"/>
                <w:szCs w:val="16"/>
              </w:rPr>
              <w:t>001</w:t>
            </w:r>
          </w:p>
        </w:tc>
        <w:tc>
          <w:tcPr>
            <w:tcW w:w="651" w:type="pct"/>
            <w:vMerge w:val="restart"/>
            <w:tcBorders>
              <w:top w:val="single" w:sz="4" w:space="0" w:color="auto"/>
              <w:left w:val="nil"/>
              <w:bottom w:val="single" w:sz="4" w:space="0" w:color="auto"/>
              <w:right w:val="nil"/>
            </w:tcBorders>
            <w:vAlign w:val="center"/>
            <w:hideMark/>
          </w:tcPr>
          <w:p w14:paraId="664472B9"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.257</w:t>
            </w:r>
          </w:p>
        </w:tc>
      </w:tr>
      <w:tr w:rsidR="006D7DCA" w:rsidRPr="006D7DCA" w14:paraId="713E4C42" w14:textId="77777777" w:rsidTr="00646185">
        <w:trPr>
          <w:trHeight w:val="340"/>
        </w:trPr>
        <w:tc>
          <w:tcPr>
            <w:tcW w:w="1976" w:type="pct"/>
            <w:tcBorders>
              <w:top w:val="nil"/>
              <w:left w:val="nil"/>
              <w:bottom w:val="nil"/>
              <w:right w:val="nil"/>
            </w:tcBorders>
            <w:vAlign w:val="center"/>
            <w:hideMark/>
          </w:tcPr>
          <w:p w14:paraId="61BED8EF" w14:textId="71E14F27" w:rsidR="00171BC2" w:rsidRPr="006D7DCA" w:rsidRDefault="00AB457C"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Calidad de sueño</w:t>
            </w:r>
          </w:p>
        </w:tc>
        <w:tc>
          <w:tcPr>
            <w:tcW w:w="420" w:type="pct"/>
            <w:tcBorders>
              <w:top w:val="nil"/>
              <w:left w:val="nil"/>
              <w:bottom w:val="nil"/>
              <w:right w:val="nil"/>
            </w:tcBorders>
            <w:vAlign w:val="center"/>
            <w:hideMark/>
          </w:tcPr>
          <w:p w14:paraId="71952D7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0.831</w:t>
            </w:r>
          </w:p>
        </w:tc>
        <w:tc>
          <w:tcPr>
            <w:tcW w:w="379" w:type="pct"/>
            <w:tcBorders>
              <w:top w:val="nil"/>
              <w:left w:val="nil"/>
              <w:bottom w:val="nil"/>
              <w:right w:val="nil"/>
            </w:tcBorders>
            <w:vAlign w:val="center"/>
            <w:hideMark/>
          </w:tcPr>
          <w:p w14:paraId="02FD92D0"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0.042</w:t>
            </w:r>
          </w:p>
        </w:tc>
        <w:tc>
          <w:tcPr>
            <w:tcW w:w="617" w:type="pct"/>
            <w:tcBorders>
              <w:top w:val="nil"/>
              <w:left w:val="nil"/>
              <w:bottom w:val="nil"/>
              <w:right w:val="nil"/>
            </w:tcBorders>
            <w:vAlign w:val="center"/>
            <w:hideMark/>
          </w:tcPr>
          <w:p w14:paraId="54F5D6C1"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0.368</w:t>
            </w:r>
          </w:p>
        </w:tc>
        <w:tc>
          <w:tcPr>
            <w:tcW w:w="477" w:type="pct"/>
            <w:tcBorders>
              <w:top w:val="nil"/>
              <w:left w:val="nil"/>
              <w:bottom w:val="nil"/>
              <w:right w:val="nil"/>
            </w:tcBorders>
            <w:vAlign w:val="center"/>
            <w:hideMark/>
          </w:tcPr>
          <w:p w14:paraId="763C95D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19.595</w:t>
            </w:r>
          </w:p>
        </w:tc>
        <w:tc>
          <w:tcPr>
            <w:tcW w:w="480" w:type="pct"/>
            <w:tcBorders>
              <w:top w:val="nil"/>
              <w:left w:val="nil"/>
              <w:bottom w:val="nil"/>
              <w:right w:val="nil"/>
            </w:tcBorders>
            <w:vAlign w:val="center"/>
            <w:hideMark/>
          </w:tcPr>
          <w:p w14:paraId="0D4E1169"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0" w:type="auto"/>
            <w:vMerge/>
            <w:tcBorders>
              <w:top w:val="single" w:sz="4" w:space="0" w:color="auto"/>
              <w:left w:val="nil"/>
              <w:bottom w:val="single" w:sz="4" w:space="0" w:color="auto"/>
              <w:right w:val="nil"/>
            </w:tcBorders>
            <w:vAlign w:val="center"/>
            <w:hideMark/>
          </w:tcPr>
          <w:p w14:paraId="06FE9F9F" w14:textId="77777777" w:rsidR="00171BC2" w:rsidRPr="006D7DCA" w:rsidRDefault="00171BC2" w:rsidP="00171BC2">
            <w:pPr>
              <w:spacing w:after="0" w:line="256" w:lineRule="auto"/>
              <w:rPr>
                <w:rFonts w:ascii="Times New Roman" w:eastAsia="Calibri" w:hAnsi="Times New Roman" w:cs="Times New Roman"/>
                <w:sz w:val="16"/>
                <w:szCs w:val="16"/>
              </w:rPr>
            </w:pPr>
          </w:p>
        </w:tc>
      </w:tr>
      <w:tr w:rsidR="006D7DCA" w:rsidRPr="006D7DCA" w14:paraId="42FAE3B4" w14:textId="77777777" w:rsidTr="00646185">
        <w:trPr>
          <w:trHeight w:val="340"/>
        </w:trPr>
        <w:tc>
          <w:tcPr>
            <w:tcW w:w="1976" w:type="pct"/>
            <w:tcBorders>
              <w:top w:val="nil"/>
              <w:left w:val="nil"/>
              <w:bottom w:val="nil"/>
              <w:right w:val="nil"/>
            </w:tcBorders>
            <w:vAlign w:val="center"/>
            <w:hideMark/>
          </w:tcPr>
          <w:p w14:paraId="7E007456"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Procrastinación</w:t>
            </w:r>
          </w:p>
        </w:tc>
        <w:tc>
          <w:tcPr>
            <w:tcW w:w="420" w:type="pct"/>
            <w:tcBorders>
              <w:top w:val="nil"/>
              <w:left w:val="nil"/>
              <w:bottom w:val="nil"/>
              <w:right w:val="nil"/>
            </w:tcBorders>
            <w:vAlign w:val="center"/>
            <w:hideMark/>
          </w:tcPr>
          <w:p w14:paraId="727C0AE3"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0.184</w:t>
            </w:r>
          </w:p>
        </w:tc>
        <w:tc>
          <w:tcPr>
            <w:tcW w:w="379" w:type="pct"/>
            <w:tcBorders>
              <w:top w:val="nil"/>
              <w:left w:val="nil"/>
              <w:bottom w:val="nil"/>
              <w:right w:val="nil"/>
            </w:tcBorders>
            <w:vAlign w:val="center"/>
            <w:hideMark/>
          </w:tcPr>
          <w:p w14:paraId="1BBAAC37"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0.031</w:t>
            </w:r>
          </w:p>
        </w:tc>
        <w:tc>
          <w:tcPr>
            <w:tcW w:w="617" w:type="pct"/>
            <w:tcBorders>
              <w:top w:val="nil"/>
              <w:left w:val="nil"/>
              <w:bottom w:val="nil"/>
              <w:right w:val="nil"/>
            </w:tcBorders>
            <w:vAlign w:val="center"/>
            <w:hideMark/>
          </w:tcPr>
          <w:p w14:paraId="636D764C"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0.113</w:t>
            </w:r>
          </w:p>
        </w:tc>
        <w:tc>
          <w:tcPr>
            <w:tcW w:w="477" w:type="pct"/>
            <w:tcBorders>
              <w:top w:val="nil"/>
              <w:left w:val="nil"/>
              <w:bottom w:val="nil"/>
              <w:right w:val="nil"/>
            </w:tcBorders>
            <w:vAlign w:val="center"/>
            <w:hideMark/>
          </w:tcPr>
          <w:p w14:paraId="796023EA"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5.929</w:t>
            </w:r>
          </w:p>
        </w:tc>
        <w:tc>
          <w:tcPr>
            <w:tcW w:w="480" w:type="pct"/>
            <w:tcBorders>
              <w:top w:val="nil"/>
              <w:left w:val="nil"/>
              <w:bottom w:val="nil"/>
              <w:right w:val="nil"/>
            </w:tcBorders>
            <w:vAlign w:val="center"/>
            <w:hideMark/>
          </w:tcPr>
          <w:p w14:paraId="784EADD5"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0" w:type="auto"/>
            <w:vMerge/>
            <w:tcBorders>
              <w:top w:val="single" w:sz="4" w:space="0" w:color="auto"/>
              <w:left w:val="nil"/>
              <w:bottom w:val="single" w:sz="4" w:space="0" w:color="auto"/>
              <w:right w:val="nil"/>
            </w:tcBorders>
            <w:vAlign w:val="center"/>
            <w:hideMark/>
          </w:tcPr>
          <w:p w14:paraId="7D6FBEE2" w14:textId="77777777" w:rsidR="00171BC2" w:rsidRPr="006D7DCA" w:rsidRDefault="00171BC2" w:rsidP="00171BC2">
            <w:pPr>
              <w:spacing w:after="0" w:line="256" w:lineRule="auto"/>
              <w:rPr>
                <w:rFonts w:ascii="Times New Roman" w:eastAsia="Calibri" w:hAnsi="Times New Roman" w:cs="Times New Roman"/>
                <w:sz w:val="16"/>
                <w:szCs w:val="16"/>
              </w:rPr>
            </w:pPr>
          </w:p>
        </w:tc>
      </w:tr>
      <w:tr w:rsidR="006D7DCA" w:rsidRPr="006D7DCA" w14:paraId="17BCA806" w14:textId="77777777" w:rsidTr="00646185">
        <w:trPr>
          <w:trHeight w:val="340"/>
        </w:trPr>
        <w:tc>
          <w:tcPr>
            <w:tcW w:w="1976" w:type="pct"/>
            <w:tcBorders>
              <w:top w:val="nil"/>
              <w:left w:val="nil"/>
              <w:bottom w:val="single" w:sz="4" w:space="0" w:color="auto"/>
              <w:right w:val="nil"/>
            </w:tcBorders>
            <w:vAlign w:val="center"/>
            <w:hideMark/>
          </w:tcPr>
          <w:p w14:paraId="2DFE571E" w14:textId="77777777" w:rsidR="00171BC2" w:rsidRPr="006D7DCA" w:rsidRDefault="00171BC2" w:rsidP="00171BC2">
            <w:pPr>
              <w:spacing w:after="0" w:line="256" w:lineRule="auto"/>
              <w:rPr>
                <w:rFonts w:ascii="Times New Roman" w:eastAsia="Calibri" w:hAnsi="Times New Roman" w:cs="Times New Roman"/>
                <w:sz w:val="16"/>
                <w:szCs w:val="16"/>
              </w:rPr>
            </w:pPr>
            <w:r w:rsidRPr="006D7DCA">
              <w:rPr>
                <w:rFonts w:ascii="Times New Roman" w:eastAsia="Calibri" w:hAnsi="Times New Roman" w:cs="Times New Roman"/>
                <w:sz w:val="16"/>
                <w:szCs w:val="16"/>
              </w:rPr>
              <w:t>Afrontamiento. Reevaluación positiva</w:t>
            </w:r>
          </w:p>
        </w:tc>
        <w:tc>
          <w:tcPr>
            <w:tcW w:w="420" w:type="pct"/>
            <w:tcBorders>
              <w:top w:val="nil"/>
              <w:left w:val="nil"/>
              <w:bottom w:val="single" w:sz="4" w:space="0" w:color="auto"/>
              <w:right w:val="nil"/>
            </w:tcBorders>
            <w:vAlign w:val="center"/>
            <w:hideMark/>
          </w:tcPr>
          <w:p w14:paraId="1160F4DD"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-0.232</w:t>
            </w:r>
          </w:p>
        </w:tc>
        <w:tc>
          <w:tcPr>
            <w:tcW w:w="379" w:type="pct"/>
            <w:tcBorders>
              <w:top w:val="nil"/>
              <w:left w:val="nil"/>
              <w:bottom w:val="single" w:sz="4" w:space="0" w:color="auto"/>
              <w:right w:val="nil"/>
            </w:tcBorders>
            <w:vAlign w:val="center"/>
            <w:hideMark/>
          </w:tcPr>
          <w:p w14:paraId="4F9E8964"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0.021</w:t>
            </w:r>
          </w:p>
        </w:tc>
        <w:tc>
          <w:tcPr>
            <w:tcW w:w="617" w:type="pct"/>
            <w:tcBorders>
              <w:top w:val="nil"/>
              <w:left w:val="nil"/>
              <w:bottom w:val="single" w:sz="4" w:space="0" w:color="auto"/>
              <w:right w:val="nil"/>
            </w:tcBorders>
            <w:vAlign w:val="center"/>
            <w:hideMark/>
          </w:tcPr>
          <w:p w14:paraId="1009A9A2"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-0.216</w:t>
            </w:r>
          </w:p>
        </w:tc>
        <w:tc>
          <w:tcPr>
            <w:tcW w:w="477" w:type="pct"/>
            <w:tcBorders>
              <w:top w:val="nil"/>
              <w:left w:val="nil"/>
              <w:bottom w:val="single" w:sz="4" w:space="0" w:color="auto"/>
              <w:right w:val="nil"/>
            </w:tcBorders>
            <w:vAlign w:val="center"/>
            <w:hideMark/>
          </w:tcPr>
          <w:p w14:paraId="5DBD5955" w14:textId="77777777" w:rsidR="00171BC2" w:rsidRPr="006D7DCA" w:rsidRDefault="00171BC2" w:rsidP="00171BC2">
            <w:pPr>
              <w:spacing w:after="0" w:line="256" w:lineRule="auto"/>
              <w:jc w:val="center"/>
              <w:rPr>
                <w:rFonts w:ascii="Times New Roman" w:eastAsia="Calibri" w:hAnsi="Times New Roman" w:cs="Times New Roman"/>
                <w:sz w:val="16"/>
                <w:szCs w:val="16"/>
              </w:rPr>
            </w:pPr>
            <w:r w:rsidRPr="006D7DCA">
              <w:rPr>
                <w:rFonts w:ascii="Times New Roman" w:eastAsia="Calibri" w:hAnsi="Times New Roman" w:cs="Times New Roman"/>
                <w:sz w:val="16"/>
                <w:szCs w:val="16"/>
              </w:rPr>
              <w:t>-11.143</w:t>
            </w:r>
          </w:p>
        </w:tc>
        <w:tc>
          <w:tcPr>
            <w:tcW w:w="480" w:type="pct"/>
            <w:tcBorders>
              <w:top w:val="nil"/>
              <w:left w:val="nil"/>
              <w:bottom w:val="single" w:sz="4" w:space="0" w:color="auto"/>
              <w:right w:val="nil"/>
            </w:tcBorders>
            <w:vAlign w:val="center"/>
            <w:hideMark/>
          </w:tcPr>
          <w:p w14:paraId="4418F589" w14:textId="77777777" w:rsidR="00171BC2" w:rsidRPr="006D7DCA" w:rsidRDefault="00171BC2" w:rsidP="00171BC2">
            <w:pPr>
              <w:spacing w:after="0" w:line="256" w:lineRule="auto"/>
              <w:jc w:val="center"/>
              <w:rPr>
                <w:rFonts w:ascii="Times New Roman" w:eastAsia="Times New Roman" w:hAnsi="Times New Roman" w:cs="Times New Roman"/>
                <w:sz w:val="16"/>
                <w:szCs w:val="16"/>
              </w:rPr>
            </w:pPr>
            <w:r w:rsidRPr="006D7DCA">
              <w:rPr>
                <w:rFonts w:ascii="Times New Roman" w:eastAsia="Times New Roman" w:hAnsi="Times New Roman" w:cs="Times New Roman"/>
                <w:sz w:val="16"/>
                <w:szCs w:val="16"/>
              </w:rPr>
              <w:t>&lt; 0.001</w:t>
            </w:r>
          </w:p>
        </w:tc>
        <w:tc>
          <w:tcPr>
            <w:tcW w:w="0" w:type="auto"/>
            <w:vMerge/>
            <w:tcBorders>
              <w:top w:val="single" w:sz="4" w:space="0" w:color="auto"/>
              <w:left w:val="nil"/>
              <w:bottom w:val="single" w:sz="4" w:space="0" w:color="auto"/>
              <w:right w:val="nil"/>
            </w:tcBorders>
            <w:vAlign w:val="center"/>
            <w:hideMark/>
          </w:tcPr>
          <w:p w14:paraId="0C905294" w14:textId="77777777" w:rsidR="00171BC2" w:rsidRPr="006D7DCA" w:rsidRDefault="00171BC2" w:rsidP="00171BC2">
            <w:pPr>
              <w:spacing w:after="0" w:line="256" w:lineRule="auto"/>
              <w:rPr>
                <w:rFonts w:ascii="Times New Roman" w:eastAsia="Calibri" w:hAnsi="Times New Roman" w:cs="Times New Roman"/>
                <w:sz w:val="16"/>
                <w:szCs w:val="16"/>
              </w:rPr>
            </w:pPr>
          </w:p>
        </w:tc>
      </w:tr>
    </w:tbl>
    <w:p w14:paraId="30ED8B18" w14:textId="77777777" w:rsidR="00171BC2" w:rsidRPr="006D7DCA" w:rsidRDefault="00171BC2" w:rsidP="00DA2A9B">
      <w:pPr>
        <w:spacing w:before="240" w:line="256" w:lineRule="auto"/>
        <w:jc w:val="center"/>
        <w:rPr>
          <w:rFonts w:ascii="Times New Roman" w:eastAsia="Calibri" w:hAnsi="Times New Roman" w:cs="Times New Roman"/>
          <w:b/>
          <w:bCs/>
          <w:sz w:val="22"/>
          <w:szCs w:val="22"/>
        </w:rPr>
      </w:pPr>
      <w:r w:rsidRPr="006D7DCA">
        <w:rPr>
          <w:rFonts w:ascii="Times New Roman" w:eastAsia="Calibri" w:hAnsi="Times New Roman" w:cs="Times New Roman"/>
          <w:b/>
          <w:bCs/>
          <w:sz w:val="22"/>
          <w:szCs w:val="22"/>
        </w:rPr>
        <w:t>DISCUSIÓN</w:t>
      </w:r>
    </w:p>
    <w:p w14:paraId="307501B6" w14:textId="2FBF7396" w:rsidR="00D05D36" w:rsidRPr="006D7DCA" w:rsidRDefault="005C5BFE" w:rsidP="00171BC2">
      <w:pPr>
        <w:spacing w:line="360" w:lineRule="auto"/>
        <w:jc w:val="both"/>
        <w:rPr>
          <w:rFonts w:ascii="Times New Roman" w:hAnsi="Times New Roman" w:cs="Times New Roman"/>
          <w:sz w:val="22"/>
          <w:szCs w:val="22"/>
        </w:rPr>
      </w:pPr>
      <w:r w:rsidRPr="006D7DCA">
        <w:rPr>
          <w:rFonts w:ascii="Times New Roman" w:eastAsia="Calibri" w:hAnsi="Times New Roman" w:cs="Times New Roman"/>
          <w:sz w:val="22"/>
          <w:szCs w:val="22"/>
        </w:rPr>
        <w:t xml:space="preserve">Este trabajo tenía como objetivo general analizar la posible asociación entre diferentes variables de salud mental, concretamente estrés, la ansiedad o la depresión y factores del estilo de vida, estrategias de afrontamiento, compromiso académico y procrastinación en el estudiantado universitario que cursa sus estudios en línea. En cuanto a la prevalencia de los trastornos mentales, en el presente estudio, el 31,62% de la muestra presentó algún grado de estrés, el 32,30% de ansiedad y el 27,22% de depresión. </w:t>
      </w:r>
      <w:r w:rsidR="00353328" w:rsidRPr="006D7DCA">
        <w:rPr>
          <w:rFonts w:ascii="Times New Roman" w:eastAsia="Calibri" w:hAnsi="Times New Roman" w:cs="Times New Roman"/>
          <w:sz w:val="22"/>
          <w:szCs w:val="22"/>
        </w:rPr>
        <w:t>Al comparar estos resultados con estudios previos, la prevalencia de depresión se sitúa en valores próximos a la reportada en un metaanálisis global que la estima en un 25% (Sheldon et al., 2021), mientras que, en el caso de la ansiedad, el porcentaje observado es inferior al promedio del 39,65% descrito en otro metaanálisis (Ahmed et al., 2023)</w:t>
      </w:r>
      <w:r w:rsidRPr="006D7DCA">
        <w:rPr>
          <w:rFonts w:ascii="Times New Roman" w:eastAsia="Calibri" w:hAnsi="Times New Roman" w:cs="Times New Roman"/>
          <w:sz w:val="22"/>
          <w:szCs w:val="22"/>
        </w:rPr>
        <w:t xml:space="preserve">. </w:t>
      </w:r>
      <w:r w:rsidR="00353328" w:rsidRPr="006D7DCA">
        <w:rPr>
          <w:rFonts w:ascii="Times New Roman" w:eastAsia="Calibri" w:hAnsi="Times New Roman" w:cs="Times New Roman"/>
          <w:sz w:val="22"/>
          <w:szCs w:val="22"/>
        </w:rPr>
        <w:t>A nivel nacional, estudios en estudiantado universitario español han registrado prevalencias moderadas de síntomas de depresión (18,4%), ansiedad (23,6%) y estrés (34,5%), valores que resultan inferiores a los observados en el presente estudio, salvo en el caso del estrés (Ramón-Arbués et al., 2020)</w:t>
      </w:r>
      <w:r w:rsidRPr="006D7DCA">
        <w:rPr>
          <w:rFonts w:ascii="Times New Roman" w:eastAsia="Calibri" w:hAnsi="Times New Roman" w:cs="Times New Roman"/>
          <w:sz w:val="22"/>
          <w:szCs w:val="22"/>
        </w:rPr>
        <w:t xml:space="preserve">. </w:t>
      </w:r>
      <w:r w:rsidR="00353328" w:rsidRPr="006D7DCA">
        <w:rPr>
          <w:rFonts w:ascii="Times New Roman" w:eastAsia="Calibri" w:hAnsi="Times New Roman" w:cs="Times New Roman"/>
          <w:sz w:val="22"/>
          <w:szCs w:val="22"/>
        </w:rPr>
        <w:t>No obstante, las tasas de estrés, ansiedad y depresión variaron durante el periodo de la COVID-19, con prevalencias a nivel mundial en estudiantado universitario del 29% para la ansiedad, 37% para la depresión y 23% para el estrés (Wang et al., 2021).</w:t>
      </w:r>
      <w:r w:rsidR="00353328" w:rsidRPr="006D7DCA">
        <w:rPr>
          <w:rFonts w:ascii="Times New Roman" w:hAnsi="Times New Roman" w:cs="Times New Roman"/>
          <w:sz w:val="22"/>
          <w:szCs w:val="22"/>
        </w:rPr>
        <w:t xml:space="preserve"> Además, los resultados obtenidos muestran asociaciones entre el estrés, la ansiedad y la depresión y diversos hábitos de vida, comportamientos académicos y otros indicadores de salud mental y emocional. Estas asociaciones sugieren la relevancia del estilo de vida y de las estrategias de afrontamiento en el análisis de la salud psicológica del estudiantado universitario en entornos de educación en línea.</w:t>
      </w:r>
    </w:p>
    <w:p w14:paraId="54FA1E3C" w14:textId="1B1F8CE7" w:rsidR="001B4165" w:rsidRPr="006D7DCA" w:rsidRDefault="001B4165" w:rsidP="001B4165">
      <w:pPr>
        <w:spacing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En primer lugar, en relación con los hábitos de vida, el tiempo de pantalla fue mayor en el estudiantado con niveles severos o extremadamente severos de estrés, ansiedad y depresión, en el contexto de la educación en línea, donde la exposición a pantallas forma parte del desarrollo de las actividades académicas. Estudios previos han descrito asociaciones entre el tiempo de pantalla y distintos indicadores de bienestar, incluyendo menor autoestima, mayor presencia de problemas de salud mental y adicciones, dificultades en el aprendizaje y un mayor riesgo de deterioro cognitivo (</w:t>
      </w:r>
      <w:proofErr w:type="spellStart"/>
      <w:r w:rsidRPr="006D7DCA">
        <w:rPr>
          <w:rFonts w:ascii="Times New Roman" w:eastAsia="Calibri" w:hAnsi="Times New Roman" w:cs="Times New Roman"/>
          <w:sz w:val="22"/>
          <w:szCs w:val="22"/>
        </w:rPr>
        <w:t>Neophytou</w:t>
      </w:r>
      <w:proofErr w:type="spellEnd"/>
      <w:r w:rsidRPr="006D7DCA">
        <w:rPr>
          <w:rFonts w:ascii="Times New Roman" w:eastAsia="Calibri" w:hAnsi="Times New Roman" w:cs="Times New Roman"/>
          <w:sz w:val="22"/>
          <w:szCs w:val="22"/>
        </w:rPr>
        <w:t xml:space="preserve"> et al., 2021). Asimismo, un menor tiempo de pantalla se ha asociado con un menor riesgo de ansiedad y depresión (</w:t>
      </w:r>
      <w:proofErr w:type="spellStart"/>
      <w:r w:rsidRPr="006D7DCA">
        <w:rPr>
          <w:rFonts w:ascii="Times New Roman" w:eastAsia="Calibri" w:hAnsi="Times New Roman" w:cs="Times New Roman"/>
          <w:sz w:val="22"/>
          <w:szCs w:val="22"/>
        </w:rPr>
        <w:t>Khouja</w:t>
      </w:r>
      <w:proofErr w:type="spellEnd"/>
      <w:r w:rsidRPr="006D7DCA">
        <w:rPr>
          <w:rFonts w:ascii="Times New Roman" w:eastAsia="Calibri" w:hAnsi="Times New Roman" w:cs="Times New Roman"/>
          <w:sz w:val="22"/>
          <w:szCs w:val="22"/>
        </w:rPr>
        <w:t xml:space="preserve"> et al., 2019). En esta línea, el uso de pantallas en actividades como redes sociales, navegación por internet o videojuegos se ha vinculado con un aumento de los síntomas de ansiedad y depresión (</w:t>
      </w:r>
      <w:proofErr w:type="spellStart"/>
      <w:r w:rsidRPr="006D7DCA">
        <w:rPr>
          <w:rFonts w:ascii="Times New Roman" w:eastAsia="Calibri" w:hAnsi="Times New Roman" w:cs="Times New Roman"/>
          <w:sz w:val="22"/>
          <w:szCs w:val="22"/>
        </w:rPr>
        <w:t>Twenge</w:t>
      </w:r>
      <w:proofErr w:type="spellEnd"/>
      <w:r w:rsidRPr="006D7DCA">
        <w:rPr>
          <w:rFonts w:ascii="Times New Roman" w:eastAsia="Calibri" w:hAnsi="Times New Roman" w:cs="Times New Roman"/>
          <w:sz w:val="22"/>
          <w:szCs w:val="22"/>
        </w:rPr>
        <w:t xml:space="preserve"> &amp; Farley, 2021). Además, la exposición prolongada a pantallas se ha relacionado con una reducción de la actividad física y con alteraciones en los patrones de sueño, factores asociados a la salud mental (</w:t>
      </w:r>
      <w:proofErr w:type="spellStart"/>
      <w:r w:rsidRPr="006D7DCA">
        <w:rPr>
          <w:rFonts w:ascii="Times New Roman" w:eastAsia="Calibri" w:hAnsi="Times New Roman" w:cs="Times New Roman"/>
          <w:sz w:val="22"/>
          <w:szCs w:val="22"/>
        </w:rPr>
        <w:t>Ghrouz</w:t>
      </w:r>
      <w:proofErr w:type="spellEnd"/>
      <w:r w:rsidRPr="006D7DCA">
        <w:rPr>
          <w:rFonts w:ascii="Times New Roman" w:eastAsia="Calibri" w:hAnsi="Times New Roman" w:cs="Times New Roman"/>
          <w:sz w:val="22"/>
          <w:szCs w:val="22"/>
        </w:rPr>
        <w:t xml:space="preserve"> et al., 2019; Wang &amp; </w:t>
      </w:r>
      <w:proofErr w:type="spellStart"/>
      <w:r w:rsidRPr="006D7DCA">
        <w:rPr>
          <w:rFonts w:ascii="Times New Roman" w:eastAsia="Calibri" w:hAnsi="Times New Roman" w:cs="Times New Roman"/>
          <w:sz w:val="22"/>
          <w:szCs w:val="22"/>
        </w:rPr>
        <w:t>Bíró</w:t>
      </w:r>
      <w:proofErr w:type="spellEnd"/>
      <w:r w:rsidRPr="006D7DCA">
        <w:rPr>
          <w:rFonts w:ascii="Times New Roman" w:eastAsia="Calibri" w:hAnsi="Times New Roman" w:cs="Times New Roman"/>
          <w:sz w:val="22"/>
          <w:szCs w:val="22"/>
        </w:rPr>
        <w:t>, 2021).</w:t>
      </w:r>
      <w:r w:rsidR="002A5AFD" w:rsidRPr="006D7DCA">
        <w:rPr>
          <w:rFonts w:ascii="Times New Roman" w:eastAsia="Calibri" w:hAnsi="Times New Roman" w:cs="Times New Roman"/>
          <w:sz w:val="22"/>
          <w:szCs w:val="22"/>
        </w:rPr>
        <w:t xml:space="preserve"> </w:t>
      </w:r>
    </w:p>
    <w:p w14:paraId="25C0DD22" w14:textId="4FED23E1" w:rsidR="005C5BFE" w:rsidRPr="006D7DCA" w:rsidRDefault="001B4165" w:rsidP="001B4165">
      <w:pPr>
        <w:spacing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En cuanto a la actividad física, el estudiantado universitario con niveles severos o extremadamente severos de estrés, ansiedad y depresión presentó menores niveles de actividad física. La literatura previa describe una relación consistente entre los trastornos mentales y los estilos de vida sedentarios (Herbert et al., 2020). La modalidad de estudios en línea implica largas horas frente a pantallas, lo que puede limitar las oportunidades de movimiento físico espontáneo, como los desplazamientos entre clases o la participación en actividades extracurriculares, más frecuentes en entornos presenciales, tal como se observó durante la COVID-19 (Chu &amp; Li, 2022). La inactividad física se ha asociado de forma inversa con la salud mental y de forma directa con el malestar psicológico, los síntomas depresivos y menores niveles de bienestar mental, satisfacción vital y felicidad (Rodríguez-Ayllon et al., 2019). Asimismo, la actividad física ha mostrado efectos beneficiosos sobre la salud mental, en parte relacionados con su influencia sobre mecanismos neurobiológicos vinculados al estrés (Moyers &amp; Hagger, 2023).</w:t>
      </w:r>
    </w:p>
    <w:p w14:paraId="621EA931" w14:textId="63307C71" w:rsidR="00C66A84" w:rsidRPr="006D7DCA" w:rsidRDefault="00C66A84" w:rsidP="001B4165">
      <w:pPr>
        <w:spacing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En lo que respecta a la adherencia a la dieta mediterránea, el estudiantado con niveles severos o extremadamente severos de estrés, ansiedad y depresión presentó una menor adherencia a este patrón alimentario. Asimismo, el análisis de regresión mostró una asociación inversa entre la adherencia a la dieta mediterránea y los niveles de estrés y depresión, en línea con estudios previos (</w:t>
      </w:r>
      <w:proofErr w:type="spellStart"/>
      <w:r w:rsidRPr="006D7DCA">
        <w:rPr>
          <w:rFonts w:ascii="Times New Roman" w:eastAsia="Calibri" w:hAnsi="Times New Roman" w:cs="Times New Roman"/>
          <w:sz w:val="22"/>
          <w:szCs w:val="22"/>
        </w:rPr>
        <w:t>Ventriglio</w:t>
      </w:r>
      <w:proofErr w:type="spellEnd"/>
      <w:r w:rsidRPr="006D7DCA">
        <w:rPr>
          <w:rFonts w:ascii="Times New Roman" w:eastAsia="Calibri" w:hAnsi="Times New Roman" w:cs="Times New Roman"/>
          <w:sz w:val="22"/>
          <w:szCs w:val="22"/>
        </w:rPr>
        <w:t xml:space="preserve"> et al., 2021). En el contexto del estudiantado en línea, los patrones dietéticos pueden verse condicionados por factores como el aislamiento, tal como se describió durante la pandemia de COVID-19, periodo en el que se observó un mayor consumo de alimentos procesados y </w:t>
      </w:r>
      <w:proofErr w:type="spellStart"/>
      <w:r w:rsidRPr="006D7DCA">
        <w:rPr>
          <w:rFonts w:ascii="Times New Roman" w:eastAsia="Calibri" w:hAnsi="Times New Roman" w:cs="Times New Roman"/>
          <w:sz w:val="22"/>
          <w:szCs w:val="22"/>
        </w:rPr>
        <w:t>ultraprocesados</w:t>
      </w:r>
      <w:proofErr w:type="spellEnd"/>
      <w:r w:rsidRPr="006D7DCA">
        <w:rPr>
          <w:rFonts w:ascii="Times New Roman" w:eastAsia="Calibri" w:hAnsi="Times New Roman" w:cs="Times New Roman"/>
          <w:sz w:val="22"/>
          <w:szCs w:val="22"/>
        </w:rPr>
        <w:t xml:space="preserve"> y una menor ingesta de verduras, frutas y legumbres (</w:t>
      </w:r>
      <w:proofErr w:type="spellStart"/>
      <w:r w:rsidRPr="006D7DCA">
        <w:rPr>
          <w:rFonts w:ascii="Times New Roman" w:eastAsia="Calibri" w:hAnsi="Times New Roman" w:cs="Times New Roman"/>
          <w:sz w:val="22"/>
          <w:szCs w:val="22"/>
        </w:rPr>
        <w:t>Jehi</w:t>
      </w:r>
      <w:proofErr w:type="spellEnd"/>
      <w:r w:rsidRPr="006D7DCA">
        <w:rPr>
          <w:rFonts w:ascii="Times New Roman" w:eastAsia="Calibri" w:hAnsi="Times New Roman" w:cs="Times New Roman"/>
          <w:sz w:val="22"/>
          <w:szCs w:val="22"/>
        </w:rPr>
        <w:t xml:space="preserve"> et al., 2023). La dieta mediterránea, caracterizada por un elevado consumo de frutas, verduras, pescado y grasas saludables, se ha asociado con la ingesta de nutrientes como ácidos grasos omega-3, antioxidantes y vitaminas del grupo B, vinculados al funcionamiento cerebral y a la regulación del estado de ánimo (Gantenbein et al., 2021; </w:t>
      </w:r>
      <w:proofErr w:type="spellStart"/>
      <w:r w:rsidRPr="006D7DCA">
        <w:rPr>
          <w:rFonts w:ascii="Times New Roman" w:eastAsia="Calibri" w:hAnsi="Times New Roman" w:cs="Times New Roman"/>
          <w:sz w:val="22"/>
          <w:szCs w:val="22"/>
        </w:rPr>
        <w:t>Ventriglio</w:t>
      </w:r>
      <w:proofErr w:type="spellEnd"/>
      <w:r w:rsidRPr="006D7DCA">
        <w:rPr>
          <w:rFonts w:ascii="Times New Roman" w:eastAsia="Calibri" w:hAnsi="Times New Roman" w:cs="Times New Roman"/>
          <w:sz w:val="22"/>
          <w:szCs w:val="22"/>
        </w:rPr>
        <w:t xml:space="preserve"> et al., 2021). Por el contrario, las dietas con alto contenido en azúcares se han relacionado con un mayor riesgo de depresión y ansiedad (Jacques et al., 2019).</w:t>
      </w:r>
    </w:p>
    <w:p w14:paraId="709C3D6B" w14:textId="3D444F81" w:rsidR="00C66A84" w:rsidRPr="006D7DCA" w:rsidRDefault="00C66A84" w:rsidP="00171BC2">
      <w:pPr>
        <w:spacing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Por último, en relación con la calidad del sueño, el estudiantado con niveles severos o extremadamente severos de depresión, ansiedad y estrés presentó una peor calidad del sueño. Estos resultados son coherentes con investigaciones previas, como la de Zhang et al. (2022), en las que se describe que el estudiantado con niveles elevados de estrés, ansiedad y depresión presenta mayores dificultades para dormir, lo que sugiere una relación entre la salud mental y la calidad del sueño. Los problemas de sueño se han asociado con una intensificación de los síntomas de estrés, configurando una dinámica que puede afectar al bienestar y al rendimiento académico (</w:t>
      </w:r>
      <w:proofErr w:type="spellStart"/>
      <w:r w:rsidRPr="006D7DCA">
        <w:rPr>
          <w:rFonts w:ascii="Times New Roman" w:eastAsia="Calibri" w:hAnsi="Times New Roman" w:cs="Times New Roman"/>
          <w:sz w:val="22"/>
          <w:szCs w:val="22"/>
        </w:rPr>
        <w:t>Begdache</w:t>
      </w:r>
      <w:proofErr w:type="spellEnd"/>
      <w:r w:rsidRPr="006D7DCA">
        <w:rPr>
          <w:rFonts w:ascii="Times New Roman" w:eastAsia="Calibri" w:hAnsi="Times New Roman" w:cs="Times New Roman"/>
          <w:sz w:val="22"/>
          <w:szCs w:val="22"/>
        </w:rPr>
        <w:t xml:space="preserve"> et al., 2019). Además, el análisis de regresión mostró asociaciones positivas entre un mayor número de problemas de sueño y niveles más altos de depresión, ansiedad y estrés. Estudios previos han descrito asociaciones entre el estrés y una menor eficiencia del sueño, así como un aumento de la latencia y la somnolencia, planteando la posible implicación de mecanismos de hiperactivación fisiológica en el desarrollo de alteraciones del sueño (Drake et al., 2004). Asimismo, la ansiedad y los trastornos relacionados con la ansiedad se han vinculado con una peor calidad del sueño y con la presencia de insomnio (Johnson, 2006). Por último, la exposición prolongada a pantallas, frecuente en el estudiantado en línea, se ha relacionado con alteraciones en la calidad del sueño debido a la exposición a la luz azul emitida por los dispositivos (</w:t>
      </w:r>
      <w:proofErr w:type="spellStart"/>
      <w:r w:rsidRPr="006D7DCA">
        <w:rPr>
          <w:rFonts w:ascii="Times New Roman" w:eastAsia="Calibri" w:hAnsi="Times New Roman" w:cs="Times New Roman"/>
          <w:sz w:val="22"/>
          <w:szCs w:val="22"/>
        </w:rPr>
        <w:t>Ishizawa</w:t>
      </w:r>
      <w:proofErr w:type="spellEnd"/>
      <w:r w:rsidRPr="006D7DCA">
        <w:rPr>
          <w:rFonts w:ascii="Times New Roman" w:eastAsia="Calibri" w:hAnsi="Times New Roman" w:cs="Times New Roman"/>
          <w:sz w:val="22"/>
          <w:szCs w:val="22"/>
        </w:rPr>
        <w:t>, 2021).</w:t>
      </w:r>
    </w:p>
    <w:p w14:paraId="422C5067" w14:textId="16A249FE" w:rsidR="005B40B4" w:rsidRPr="006D7DCA" w:rsidRDefault="005B40B4" w:rsidP="00171BC2">
      <w:pPr>
        <w:spacing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Por otro lado, en relación con el burnout, el estudiantado con niveles severos o extremadamente severos de estrés, ansiedad y depresión presentó menores puntuaciones en eficiencia académica y mayores puntuaciones en cinismo y agotamiento emocional. El agotamiento emocional mostró una asociación positiva con el estrés en el análisis de regresión. El burnout académico, caracterizado por bajos niveles de eficiencia académica y mayores niveles de cinismo y agotamiento emocional, ha sido descrito con frecuencia en estudiantado que presenta altos niveles de estrés, ansiedad y síntomas de depresión (</w:t>
      </w:r>
      <w:proofErr w:type="spellStart"/>
      <w:r w:rsidRPr="006D7DCA">
        <w:rPr>
          <w:rFonts w:ascii="Times New Roman" w:eastAsia="Calibri" w:hAnsi="Times New Roman" w:cs="Times New Roman"/>
          <w:sz w:val="22"/>
          <w:szCs w:val="22"/>
        </w:rPr>
        <w:t>Koutsimani</w:t>
      </w:r>
      <w:proofErr w:type="spellEnd"/>
      <w:r w:rsidRPr="006D7DCA">
        <w:rPr>
          <w:rFonts w:ascii="Times New Roman" w:eastAsia="Calibri" w:hAnsi="Times New Roman" w:cs="Times New Roman"/>
          <w:sz w:val="22"/>
          <w:szCs w:val="22"/>
        </w:rPr>
        <w:t xml:space="preserve"> et al., 2019; Liu et al., 2023). Este síndrome se ha asociado con contextos en los que las demandas emocionales y académicas superan los recursos personales y de apoyo disponibles (Liu et al., 2023). El estrés académico, vinculado a la sobrecarga de trabajo, las expectativas académicas y las responsabilidades propias de la etapa universitaria, se ha relacionado con un desgaste progresivo de los recursos psicológicos, asociándose con el agotamiento emocional y con indicadores de salud mental como el estrés, la ansiedad y la depresión (Córdova-Olivera et al., 2023; Fariborz et al., 2019). Asimismo, variables como la autoeficacia se han propuesto como factores mediadores en estas asociaciones. En el contexto de la educación en línea, el estudiantado puede enfrentarse adicionalmente a una menor interacción social y a sentimientos de desconexión, factores que se han vinculado con un mayor riesgo de burnout y cinismo académico (González-Ramírez et al., 2021).</w:t>
      </w:r>
    </w:p>
    <w:p w14:paraId="7DB83F59" w14:textId="2EE39092" w:rsidR="005B40B4" w:rsidRPr="006D7DCA" w:rsidRDefault="005B40B4" w:rsidP="00171BC2">
      <w:pPr>
        <w:spacing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En lo referente a las estrategias de afrontamiento, el estudiantado con niveles severos o extremadamente severos de estrés, ansiedad y depresión presentó un menor uso de la reevaluación positiva, la búsqueda de apoyo y la planificación. Asimismo, el análisis de regresión mostró asociaciones negativas entre la planificación y el estrés, así como entre la reevaluación positiva y la ansiedad y la depresión. Estos resultados son coherentes con la literatura previa, que ha descrito un menor uso de este tipo de estrategias en personas con depresión (Orzechowska et al., 2022). Diversos estudios han propuesto estas estrategias como factores asociados a un mejor ajuste psicológico, especialmente en población universitaria (Li et al., 2022). En esta línea, la reevaluación positiva y la planificación mostraron asociaciones negativas con los síntomas de depresión, estrés y ansiedad en universitarios brasileños (</w:t>
      </w:r>
      <w:proofErr w:type="spellStart"/>
      <w:r w:rsidRPr="006D7DCA">
        <w:rPr>
          <w:rFonts w:ascii="Times New Roman" w:eastAsia="Calibri" w:hAnsi="Times New Roman" w:cs="Times New Roman"/>
          <w:sz w:val="22"/>
          <w:szCs w:val="22"/>
        </w:rPr>
        <w:t>Lopes</w:t>
      </w:r>
      <w:proofErr w:type="spellEnd"/>
      <w:r w:rsidRPr="006D7DCA">
        <w:rPr>
          <w:rFonts w:ascii="Times New Roman" w:eastAsia="Calibri" w:hAnsi="Times New Roman" w:cs="Times New Roman"/>
          <w:sz w:val="22"/>
          <w:szCs w:val="22"/>
        </w:rPr>
        <w:t xml:space="preserve"> &amp; Nihei, 2021). Asimismo, investigaciones previas han descrito asociaciones entre la búsqueda de apoyo social y familiar y menores niveles de depresión, estrés y ansiedad en universitarios, particularmente en contextos de elevada demanda, como el periodo de la COVID-19 (Luo &amp; Mohammed, 2023). En el presente estudio, la búsqueda de apoyo se asoció de forma inversa con la depresión, mientras que, en el caso de la ansiedad y el estrés, el estudiantado con menores niveles presentó un mayor uso de esta estrategia. En conjunto, estos resultados se alinean con investigaciones que han analizado intervenciones orientadas al fortalecimiento de las estrategias de afrontamiento, las cuales han mostrado asociaciones con una reducción de los síntomas psicológicos (Rith-Najarian et al., 2019).</w:t>
      </w:r>
    </w:p>
    <w:p w14:paraId="070AB7D8" w14:textId="5995ADA9" w:rsidR="00171BC2" w:rsidRPr="006D7DCA" w:rsidRDefault="00361BCF" w:rsidP="00361BCF">
      <w:pPr>
        <w:spacing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 xml:space="preserve">En relación con el compromiso académico, el estudiantado universitario con mayores niveles de estrés, ansiedad y depresión presentó menores puntuaciones en las dimensiones de dedicación, vigor y absorción. Según Beiter et al. (2015), entre las principales fuentes de preocupación en esta población se encuentran el rendimiento académico, la presión por el éxito y los planes de futuro tras la graduación, factores que se han relacionado con la salud mental del estudiantado. Asimismo, un estudio realizado en estudiantado universitario español describió asociaciones entre el compromiso académico y la capacidad para gestionar las emociones propias y ajenas, así como para afrontar situaciones adversas (García-Martínez et al., 2021). De forma específica, la dimensión de vigor académico mostró una asociación inversa con el estrés en el análisis de regresión. Esta relación entre compromiso y estrés ha sido descrita en investigaciones recientes, en las que se señala que el estrés derivado de los requerimientos académicos puede asociarse con un agotamiento de los recursos psicológicos, influyendo en el compromiso académico (Saleem et al., 2022). En esta línea, </w:t>
      </w:r>
      <w:proofErr w:type="spellStart"/>
      <w:r w:rsidRPr="006D7DCA">
        <w:rPr>
          <w:rFonts w:ascii="Times New Roman" w:eastAsia="Calibri" w:hAnsi="Times New Roman" w:cs="Times New Roman"/>
          <w:sz w:val="22"/>
          <w:szCs w:val="22"/>
        </w:rPr>
        <w:t>Ogunsanwo</w:t>
      </w:r>
      <w:proofErr w:type="spellEnd"/>
      <w:r w:rsidRPr="006D7DCA">
        <w:rPr>
          <w:rFonts w:ascii="Times New Roman" w:eastAsia="Calibri" w:hAnsi="Times New Roman" w:cs="Times New Roman"/>
          <w:sz w:val="22"/>
          <w:szCs w:val="22"/>
        </w:rPr>
        <w:t xml:space="preserve"> y Bukki (2023) indicaron que una proporción relevante de la varianza del compromiso académico se explica por variables como el estrés académico, la inteligencia emocional y la resiliencia. </w:t>
      </w:r>
    </w:p>
    <w:p w14:paraId="24938920" w14:textId="77777777" w:rsidR="00591DD0" w:rsidRPr="006D7DCA" w:rsidRDefault="00361BCF" w:rsidP="00591DD0">
      <w:pPr>
        <w:spacing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Finalmente, el estudiantado con niveles severos o extremadamente severos de estrés, ansiedad y depresión presentó mayores puntuaciones en procrastinación académica. Asimismo, la procrastinación mostró una contribución significativa en la explicación de la varianza tanto de la ansiedad como de la depresión. Un metaanálisis que incluyó 22 estudios describió una asociación negativa entre la procrastinación y el rendimiento académico en población universitaria, con un tamaño del efecto de -0,61 (</w:t>
      </w:r>
      <w:proofErr w:type="spellStart"/>
      <w:r w:rsidRPr="006D7DCA">
        <w:rPr>
          <w:rFonts w:ascii="Times New Roman" w:eastAsia="Calibri" w:hAnsi="Times New Roman" w:cs="Times New Roman"/>
          <w:sz w:val="22"/>
          <w:szCs w:val="22"/>
        </w:rPr>
        <w:t>Akpur</w:t>
      </w:r>
      <w:proofErr w:type="spellEnd"/>
      <w:r w:rsidRPr="006D7DCA">
        <w:rPr>
          <w:rFonts w:ascii="Times New Roman" w:eastAsia="Calibri" w:hAnsi="Times New Roman" w:cs="Times New Roman"/>
          <w:sz w:val="22"/>
          <w:szCs w:val="22"/>
        </w:rPr>
        <w:t>, 2020). Entre los motivos identificados por el propio estudiantado para este comportamiento se encuentran el miedo al fracaso, la aversión a las tareas, el miedo al éxito, la presión del grupo de iguales y las dificultades en la gestión del tiempo (</w:t>
      </w:r>
      <w:proofErr w:type="spellStart"/>
      <w:r w:rsidRPr="006D7DCA">
        <w:rPr>
          <w:rFonts w:ascii="Times New Roman" w:eastAsia="Calibri" w:hAnsi="Times New Roman" w:cs="Times New Roman"/>
          <w:sz w:val="22"/>
          <w:szCs w:val="22"/>
        </w:rPr>
        <w:t>Argiropoulou</w:t>
      </w:r>
      <w:proofErr w:type="spellEnd"/>
      <w:r w:rsidRPr="006D7DCA">
        <w:rPr>
          <w:rFonts w:ascii="Times New Roman" w:eastAsia="Calibri" w:hAnsi="Times New Roman" w:cs="Times New Roman"/>
          <w:sz w:val="22"/>
          <w:szCs w:val="22"/>
        </w:rPr>
        <w:t xml:space="preserve"> et al., 2020). La procrastinación se ha asociado no solo con el rendimiento académico, sino también con diversos indicadores de salud mental. En esta línea, un estudio realizado en estudiantado universitario sueco describió asociaciones entre la procrastinación y mayores niveles de depresión, ansiedad y estrés, así como con peor calidad del sueño, menor actividad física y mayores niveles de soledad (Johansson et al., 2023). Asimismo, la procrastinación se ha vinculado con mayores dificultades para disfrutar de las actividades cotidianas y para mantener la concentración, lo que puede interferir en la finalización de tareas académicas (Steel, 2007). Estos efectos se han descrito con mayor frecuencia en el estudiantado que cursa estudios en entornos en línea, donde una menor interacción con compañeros y profesorado puede asociarse con un menor compromiso con las tareas académicas (De Paola et al., 2022).</w:t>
      </w:r>
    </w:p>
    <w:p w14:paraId="7AB7FEA5" w14:textId="5CBEF395" w:rsidR="00591DD0" w:rsidRPr="006D7DCA" w:rsidRDefault="00591DD0" w:rsidP="00591DD0">
      <w:pPr>
        <w:spacing w:line="360" w:lineRule="auto"/>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Una de las principales fortalezas de este estudio es la amplitud de la muestra, compuesta por 2.204 estudiantes que cursan estudios en modalidad en línea en un contexto temporal distinto al de la pandemia de COVID-19. Este aspecto diferencia el presente trabajo de buena parte de la literatura previa, centrada mayoritariamente en el impacto de la pandemia sobre la salud mental del estudiantado universitario. El análisis en un periodo posterior permite examinar estas asociaciones en condiciones de mayor estabilidad, contribuyendo a una comprensión más actualizada de las dinámicas propias de la educación en línea. Asimismo, el estudio ofrece una aproximación integral a la prevalencia de estrés, ansiedad y depresión en este colectivo, analizando su relación con comportamientos académicos, hábitos de vida e indicadores de salud mental y emocional. Este enfoque multidimensional permite integrar distintos ámbitos de análisis relevantes para el estudio del bienestar del estudiantado en entornos virtuales. A pesar de estas fortalezas, el estudio presenta algunas limitaciones que deben tenerse en cuenta. En primer lugar, el diseño transversal no permite establecer relaciones de causalidad entre las variables analizadas. En segundo lugar, la utilización de instrumentos de autoinforme puede introducir sesgos derivados de la percepción subjetiva del propio estudiantado. Estas limitaciones deben considerarse al interpretar los resultados.</w:t>
      </w:r>
    </w:p>
    <w:p w14:paraId="2CE70ECB" w14:textId="5AD36434" w:rsidR="00171BC2" w:rsidRPr="006D7DCA" w:rsidRDefault="00171BC2" w:rsidP="00E62AEE">
      <w:pPr>
        <w:spacing w:line="360" w:lineRule="auto"/>
        <w:jc w:val="center"/>
        <w:rPr>
          <w:rFonts w:ascii="Times New Roman" w:eastAsia="Calibri" w:hAnsi="Times New Roman" w:cs="Times New Roman"/>
          <w:sz w:val="22"/>
          <w:szCs w:val="22"/>
        </w:rPr>
      </w:pPr>
      <w:r w:rsidRPr="006D7DCA">
        <w:rPr>
          <w:rFonts w:ascii="Times New Roman" w:eastAsia="Calibri" w:hAnsi="Times New Roman" w:cs="Times New Roman"/>
          <w:b/>
          <w:bCs/>
          <w:sz w:val="22"/>
          <w:szCs w:val="22"/>
        </w:rPr>
        <w:t>CONCLUSIONES</w:t>
      </w:r>
    </w:p>
    <w:p w14:paraId="3B58FCB1" w14:textId="77777777" w:rsidR="00361BCF" w:rsidRPr="006D7DCA" w:rsidRDefault="00181A0E" w:rsidP="00361BCF">
      <w:pPr>
        <w:spacing w:line="360" w:lineRule="auto"/>
        <w:jc w:val="both"/>
        <w:rPr>
          <w:rFonts w:ascii="Times New Roman" w:eastAsia="Calibri" w:hAnsi="Times New Roman" w:cs="Times New Roman"/>
          <w:bCs/>
          <w:sz w:val="22"/>
          <w:szCs w:val="22"/>
        </w:rPr>
      </w:pPr>
      <w:r w:rsidRPr="006D7DCA">
        <w:rPr>
          <w:rFonts w:ascii="Times New Roman" w:eastAsia="Calibri" w:hAnsi="Times New Roman" w:cs="Times New Roman"/>
          <w:bCs/>
          <w:sz w:val="22"/>
          <w:szCs w:val="22"/>
        </w:rPr>
        <w:t>Los resultados de este estudio confirman que el estudiantado universitario que cursa programas en línea presenta una alta prevalencia de ansiedad, estrés y síntomas depresivos, afectando aproximadamente a un tercio de la muestra en el caso de los dos primeros y a más de una cuarta parte en el caso del tercero</w:t>
      </w:r>
      <w:r w:rsidR="0008699E" w:rsidRPr="006D7DCA">
        <w:rPr>
          <w:rFonts w:ascii="Times New Roman" w:eastAsia="Calibri" w:hAnsi="Times New Roman" w:cs="Times New Roman"/>
          <w:bCs/>
          <w:sz w:val="22"/>
          <w:szCs w:val="22"/>
        </w:rPr>
        <w:t xml:space="preserve">. Estos trastornos mentales se asocian de manera significativa con diversos hábitos de vida y comportamientos académicos, destacándose </w:t>
      </w:r>
      <w:r w:rsidR="00AB457C" w:rsidRPr="006D7DCA">
        <w:rPr>
          <w:rFonts w:ascii="Times New Roman" w:eastAsia="Calibri" w:hAnsi="Times New Roman" w:cs="Times New Roman"/>
          <w:bCs/>
          <w:sz w:val="22"/>
          <w:szCs w:val="22"/>
        </w:rPr>
        <w:t>peor calidad</w:t>
      </w:r>
      <w:r w:rsidR="0008699E" w:rsidRPr="006D7DCA">
        <w:rPr>
          <w:rFonts w:ascii="Times New Roman" w:eastAsia="Calibri" w:hAnsi="Times New Roman" w:cs="Times New Roman"/>
          <w:bCs/>
          <w:sz w:val="22"/>
          <w:szCs w:val="22"/>
        </w:rPr>
        <w:t xml:space="preserve"> de sueño, una dieta menos saludable, menor actividad física, mayor tiempo frente a pantallas, menor compromiso académico, estrategias de afrontamiento inadecuadas, mayor burnout y comportamientos procrastinadores. Los modelos de regresión indican que estas variables explican hasta el 25% de la varianza en los síntomas de ansiedad y depresión, y hasta el 35% en el caso del estrés.</w:t>
      </w:r>
    </w:p>
    <w:p w14:paraId="328D651B" w14:textId="77777777" w:rsidR="008D5A1A" w:rsidRPr="006D7DCA" w:rsidRDefault="00181A0E" w:rsidP="008D5A1A">
      <w:pPr>
        <w:spacing w:line="360" w:lineRule="auto"/>
        <w:jc w:val="both"/>
        <w:rPr>
          <w:rFonts w:ascii="Times New Roman" w:eastAsia="Calibri" w:hAnsi="Times New Roman" w:cs="Times New Roman"/>
          <w:bCs/>
          <w:sz w:val="22"/>
          <w:szCs w:val="22"/>
        </w:rPr>
      </w:pPr>
      <w:r w:rsidRPr="006D7DCA">
        <w:rPr>
          <w:rFonts w:ascii="Times New Roman" w:eastAsia="Calibri" w:hAnsi="Times New Roman" w:cs="Times New Roman"/>
          <w:bCs/>
          <w:sz w:val="22"/>
          <w:szCs w:val="22"/>
        </w:rPr>
        <w:t>Dadas las altas prevalencias de trastornos mentales en la población de estudio y la influencia de las variables analizadas sobre dichos trastornos, los resultados de este trabajo deberían ser considerados para el diseño de intervenciones que promuevan el bienestar mental del estudiantado universitario en general, y especialmente de quienes cursan sus estudios a distancia. Estas intervenciones deberían centrarse en el fomento de estilos de vida saludables, la promoción de la actividad física, la educación en higiene del sueño y la reducción del uso excesivo de pantallas. Asimismo, sería clave proporcionar herramientas y asesoramiento sobre estrategias de afrontamiento, gestión del tiempo y adaptación al entorno universitario.</w:t>
      </w:r>
      <w:r w:rsidR="00361BCF" w:rsidRPr="006D7DCA">
        <w:rPr>
          <w:rFonts w:ascii="Times New Roman" w:eastAsia="Calibri" w:hAnsi="Times New Roman" w:cs="Times New Roman"/>
          <w:bCs/>
          <w:sz w:val="22"/>
          <w:szCs w:val="22"/>
        </w:rPr>
        <w:t xml:space="preserve"> </w:t>
      </w:r>
      <w:bookmarkStart w:id="4" w:name="_Hlk184812805"/>
    </w:p>
    <w:p w14:paraId="6CA00091" w14:textId="22C67544" w:rsidR="008D5A1A" w:rsidRPr="006D7DCA" w:rsidRDefault="008D5A1A" w:rsidP="008D5A1A">
      <w:pPr>
        <w:spacing w:line="360" w:lineRule="auto"/>
        <w:jc w:val="both"/>
        <w:rPr>
          <w:rFonts w:ascii="Times New Roman" w:eastAsia="Calibri" w:hAnsi="Times New Roman" w:cs="Times New Roman"/>
          <w:bCs/>
          <w:sz w:val="22"/>
          <w:szCs w:val="22"/>
        </w:rPr>
      </w:pPr>
      <w:r w:rsidRPr="006D7DCA">
        <w:rPr>
          <w:rFonts w:ascii="Times New Roman" w:eastAsia="Calibri" w:hAnsi="Times New Roman" w:cs="Times New Roman"/>
          <w:bCs/>
          <w:sz w:val="22"/>
          <w:szCs w:val="22"/>
        </w:rPr>
        <w:t>Desde una perspectiva aplicada, los resultados del presente estudio pueden servir de referencia para el desarrollo de acciones institucionales dirigidas al apoyo del estudiantado en línea, tales como programas de acompañamiento psicológico, recursos digitales orientados al bienestar mental (por ejemplo, plataformas de apoyo psicológico en línea o servicios de orientación accesibles de forma telemática) o iniciativas centradas en el desarrollo de habilidades de afrontamiento y gestión académica (como talleres virtuales sobre planificación del estudio y regulación emocional). En conjunto, los hallazgos subrayan la conveniencia de abordar la salud mental del estudiantado en línea desde un enfoque integral, que contemple tanto estrategias preventivas como de apoyo, con el objetivo de favorecer el equilibrio emocional y académico en este colectivo.</w:t>
      </w:r>
    </w:p>
    <w:p w14:paraId="3233AD3C" w14:textId="18C8DBAB" w:rsidR="00DD02B6" w:rsidRPr="006D7DCA" w:rsidRDefault="00171BC2" w:rsidP="00DD02B6">
      <w:pPr>
        <w:spacing w:line="256" w:lineRule="auto"/>
        <w:rPr>
          <w:rFonts w:ascii="Times New Roman" w:eastAsia="Calibri" w:hAnsi="Times New Roman" w:cs="Times New Roman"/>
          <w:b/>
          <w:bCs/>
          <w:sz w:val="22"/>
          <w:szCs w:val="22"/>
          <w:lang w:val="en-US"/>
        </w:rPr>
      </w:pPr>
      <w:r w:rsidRPr="006D7DCA">
        <w:rPr>
          <w:rFonts w:ascii="Times New Roman" w:eastAsia="Calibri" w:hAnsi="Times New Roman" w:cs="Times New Roman"/>
          <w:b/>
          <w:bCs/>
          <w:sz w:val="22"/>
          <w:szCs w:val="22"/>
          <w:lang w:val="en-US"/>
        </w:rPr>
        <w:t>REFERENCIAS</w:t>
      </w:r>
    </w:p>
    <w:p w14:paraId="2FAC9FE3" w14:textId="13B7B2C1" w:rsidR="008C46E8" w:rsidRPr="006D7DCA" w:rsidRDefault="008C46E8" w:rsidP="00181A0E">
      <w:pPr>
        <w:spacing w:before="240" w:line="360" w:lineRule="auto"/>
        <w:ind w:left="709" w:hanging="709"/>
        <w:jc w:val="both"/>
        <w:rPr>
          <w:rFonts w:ascii="Times New Roman" w:eastAsia="Calibri" w:hAnsi="Times New Roman" w:cs="Times New Roman"/>
          <w:sz w:val="22"/>
          <w:szCs w:val="22"/>
          <w:lang w:val="en-US"/>
        </w:rPr>
      </w:pPr>
      <w:r w:rsidRPr="006D7DCA">
        <w:rPr>
          <w:rFonts w:ascii="Times New Roman" w:eastAsia="Calibri" w:hAnsi="Times New Roman" w:cs="Times New Roman"/>
          <w:sz w:val="22"/>
          <w:szCs w:val="22"/>
          <w:lang w:val="en-US"/>
        </w:rPr>
        <w:t>Ahmed, I., Hazell, C. M., Edwards, B., Glazebrook, C., &amp; Davies, E. B. (2023). A systematic review and meta-analysis of studies exploring prevalence of non-specific anxiety in undergraduate university students. </w:t>
      </w:r>
      <w:r w:rsidRPr="006D7DCA">
        <w:rPr>
          <w:rFonts w:ascii="Times New Roman" w:eastAsia="Calibri" w:hAnsi="Times New Roman" w:cs="Times New Roman"/>
          <w:i/>
          <w:iCs/>
          <w:sz w:val="22"/>
          <w:szCs w:val="22"/>
          <w:lang w:val="en-US"/>
        </w:rPr>
        <w:t>BMC psychiatry</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23</w:t>
      </w:r>
      <w:r w:rsidRPr="006D7DCA">
        <w:rPr>
          <w:rFonts w:ascii="Times New Roman" w:eastAsia="Calibri" w:hAnsi="Times New Roman" w:cs="Times New Roman"/>
          <w:sz w:val="22"/>
          <w:szCs w:val="22"/>
          <w:lang w:val="en-US"/>
        </w:rPr>
        <w:t>(1), 240.</w:t>
      </w:r>
      <w:r w:rsidR="002D0C40" w:rsidRPr="006D7DCA">
        <w:t xml:space="preserve"> </w:t>
      </w:r>
      <w:hyperlink r:id="rId6" w:history="1">
        <w:r w:rsidR="002D0C40" w:rsidRPr="006D7DCA">
          <w:rPr>
            <w:rStyle w:val="Hipervnculo"/>
            <w:rFonts w:ascii="Times New Roman" w:eastAsia="Calibri" w:hAnsi="Times New Roman" w:cs="Times New Roman"/>
            <w:color w:val="auto"/>
            <w:sz w:val="22"/>
            <w:szCs w:val="22"/>
            <w:lang w:val="en-US"/>
          </w:rPr>
          <w:t>https://doi.org/10.1186/s12888-023-04645-8</w:t>
        </w:r>
      </w:hyperlink>
    </w:p>
    <w:p w14:paraId="0C7E959E" w14:textId="3B640C25" w:rsidR="008C46E8" w:rsidRPr="006D7DCA" w:rsidRDefault="008C46E8" w:rsidP="00181A0E">
      <w:pPr>
        <w:spacing w:before="240" w:line="360" w:lineRule="auto"/>
        <w:ind w:left="709" w:hanging="709"/>
        <w:jc w:val="both"/>
        <w:rPr>
          <w:rFonts w:ascii="Times New Roman" w:eastAsia="Calibri" w:hAnsi="Times New Roman" w:cs="Times New Roman"/>
          <w:sz w:val="22"/>
          <w:szCs w:val="22"/>
          <w:lang w:val="en-US"/>
        </w:rPr>
      </w:pPr>
      <w:proofErr w:type="spellStart"/>
      <w:r w:rsidRPr="006D7DCA">
        <w:rPr>
          <w:rFonts w:ascii="Times New Roman" w:eastAsia="Calibri" w:hAnsi="Times New Roman" w:cs="Times New Roman"/>
          <w:sz w:val="22"/>
          <w:szCs w:val="22"/>
          <w:lang w:val="en-US"/>
        </w:rPr>
        <w:t>Akpur</w:t>
      </w:r>
      <w:proofErr w:type="spellEnd"/>
      <w:r w:rsidRPr="006D7DCA">
        <w:rPr>
          <w:rFonts w:ascii="Times New Roman" w:eastAsia="Calibri" w:hAnsi="Times New Roman" w:cs="Times New Roman"/>
          <w:sz w:val="22"/>
          <w:szCs w:val="22"/>
          <w:lang w:val="en-US"/>
        </w:rPr>
        <w:t xml:space="preserve">, U. (2020). The effect of procrastination on academic achievement: a meta-analysis study. </w:t>
      </w:r>
      <w:r w:rsidRPr="006D7DCA">
        <w:rPr>
          <w:rFonts w:ascii="Times New Roman" w:eastAsia="Calibri" w:hAnsi="Times New Roman" w:cs="Times New Roman"/>
          <w:i/>
          <w:iCs/>
          <w:sz w:val="22"/>
          <w:szCs w:val="22"/>
          <w:lang w:val="en-US"/>
        </w:rPr>
        <w:t>International Journal of Educational Methodology, 6</w:t>
      </w:r>
      <w:r w:rsidRPr="006D7DCA">
        <w:rPr>
          <w:rFonts w:ascii="Times New Roman" w:eastAsia="Calibri" w:hAnsi="Times New Roman" w:cs="Times New Roman"/>
          <w:sz w:val="22"/>
          <w:szCs w:val="22"/>
          <w:lang w:val="en-US"/>
        </w:rPr>
        <w:t xml:space="preserve">(4), 681-690. </w:t>
      </w:r>
      <w:hyperlink r:id="rId7" w:history="1">
        <w:r w:rsidR="002D0C40" w:rsidRPr="006D7DCA">
          <w:rPr>
            <w:rStyle w:val="Hipervnculo"/>
            <w:rFonts w:ascii="Times New Roman" w:eastAsia="Calibri" w:hAnsi="Times New Roman" w:cs="Times New Roman"/>
            <w:color w:val="auto"/>
            <w:sz w:val="22"/>
            <w:szCs w:val="22"/>
            <w:lang w:val="en-US"/>
          </w:rPr>
          <w:t>https://doi.org/10.12973/ijem.6.4.681</w:t>
        </w:r>
      </w:hyperlink>
    </w:p>
    <w:p w14:paraId="6F3E932E"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lang w:val="en-US"/>
        </w:rPr>
        <w:t xml:space="preserve">Altun, I., Cinar, N. &amp; Dede, C. (2012). </w:t>
      </w:r>
      <w:r w:rsidRPr="006D7DCA">
        <w:rPr>
          <w:rFonts w:ascii="Times New Roman" w:hAnsi="Times New Roman" w:cs="Times New Roman"/>
          <w:sz w:val="22"/>
          <w:szCs w:val="22"/>
          <w:lang w:val="en-GB"/>
        </w:rPr>
        <w:t xml:space="preserve">The contributing factors to poor sleep experiences in according to the university students: A cross-sectional study. </w:t>
      </w:r>
      <w:r w:rsidRPr="006D7DCA">
        <w:rPr>
          <w:rFonts w:ascii="Times New Roman" w:hAnsi="Times New Roman" w:cs="Times New Roman"/>
          <w:i/>
          <w:iCs/>
          <w:sz w:val="22"/>
          <w:szCs w:val="22"/>
        </w:rPr>
        <w:t xml:space="preserve">J Res Med </w:t>
      </w:r>
      <w:proofErr w:type="spellStart"/>
      <w:r w:rsidRPr="006D7DCA">
        <w:rPr>
          <w:rFonts w:ascii="Times New Roman" w:hAnsi="Times New Roman" w:cs="Times New Roman"/>
          <w:i/>
          <w:iCs/>
          <w:sz w:val="22"/>
          <w:szCs w:val="22"/>
        </w:rPr>
        <w:t>Sci</w:t>
      </w:r>
      <w:proofErr w:type="spellEnd"/>
      <w:r w:rsidRPr="006D7DCA">
        <w:rPr>
          <w:rFonts w:ascii="Times New Roman" w:hAnsi="Times New Roman" w:cs="Times New Roman"/>
          <w:sz w:val="22"/>
          <w:szCs w:val="22"/>
        </w:rPr>
        <w:t>,</w:t>
      </w:r>
      <w:r w:rsidRPr="006D7DCA">
        <w:rPr>
          <w:rFonts w:ascii="Times New Roman" w:hAnsi="Times New Roman" w:cs="Times New Roman"/>
          <w:i/>
          <w:iCs/>
          <w:sz w:val="22"/>
          <w:szCs w:val="22"/>
        </w:rPr>
        <w:t xml:space="preserve"> 17</w:t>
      </w:r>
      <w:r w:rsidRPr="006D7DCA">
        <w:rPr>
          <w:rFonts w:ascii="Times New Roman" w:hAnsi="Times New Roman" w:cs="Times New Roman"/>
          <w:sz w:val="22"/>
          <w:szCs w:val="22"/>
        </w:rPr>
        <w:t>(6), 557-61</w:t>
      </w:r>
    </w:p>
    <w:p w14:paraId="4EA1422C" w14:textId="22A27B0A"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rPr>
        <w:t xml:space="preserve">Álvarez-Pérez, P. R., López-Aguilar, D., González-Morales, M. O., &amp; Peña-Vázquez, R. (2021). </w:t>
      </w:r>
      <w:r w:rsidRPr="006D7DCA">
        <w:rPr>
          <w:rFonts w:ascii="Times New Roman" w:hAnsi="Times New Roman" w:cs="Times New Roman"/>
          <w:sz w:val="22"/>
          <w:szCs w:val="22"/>
          <w:lang w:val="en-US"/>
        </w:rPr>
        <w:t xml:space="preserve">Academic Engagement and Dropout Intention in Undergraduate University Students. </w:t>
      </w:r>
      <w:r w:rsidRPr="006D7DCA">
        <w:rPr>
          <w:rFonts w:ascii="Times New Roman" w:hAnsi="Times New Roman" w:cs="Times New Roman"/>
          <w:i/>
          <w:iCs/>
          <w:sz w:val="22"/>
          <w:szCs w:val="22"/>
          <w:lang w:val="en-US"/>
        </w:rPr>
        <w:t>Journal of College Student Retention: Research, Theory &amp; Practice</w:t>
      </w:r>
      <w:r w:rsidRPr="006D7DCA">
        <w:rPr>
          <w:rFonts w:ascii="Times New Roman" w:hAnsi="Times New Roman" w:cs="Times New Roman"/>
          <w:sz w:val="22"/>
          <w:szCs w:val="22"/>
          <w:lang w:val="en-US"/>
        </w:rPr>
        <w:t>,</w:t>
      </w:r>
      <w:r w:rsidR="002D0C40" w:rsidRPr="006D7DCA">
        <w:rPr>
          <w:rFonts w:ascii="Times New Roman" w:hAnsi="Times New Roman" w:cs="Times New Roman"/>
          <w:sz w:val="22"/>
          <w:szCs w:val="22"/>
          <w:lang w:val="en-US"/>
        </w:rPr>
        <w:t xml:space="preserve"> 26(1),</w:t>
      </w:r>
      <w:r w:rsidRPr="006D7DCA">
        <w:rPr>
          <w:rFonts w:ascii="Times New Roman" w:hAnsi="Times New Roman" w:cs="Times New Roman"/>
          <w:sz w:val="22"/>
          <w:szCs w:val="22"/>
          <w:lang w:val="en-US"/>
        </w:rPr>
        <w:t xml:space="preserve"> 1</w:t>
      </w:r>
      <w:r w:rsidR="002D0C40" w:rsidRPr="006D7DCA">
        <w:rPr>
          <w:rFonts w:ascii="Times New Roman" w:hAnsi="Times New Roman" w:cs="Times New Roman"/>
          <w:sz w:val="22"/>
          <w:szCs w:val="22"/>
          <w:lang w:val="en-US"/>
        </w:rPr>
        <w:t>08</w:t>
      </w:r>
      <w:r w:rsidRPr="006D7DCA">
        <w:rPr>
          <w:rFonts w:ascii="Times New Roman" w:hAnsi="Times New Roman" w:cs="Times New Roman"/>
          <w:sz w:val="22"/>
          <w:szCs w:val="22"/>
          <w:lang w:val="en-US"/>
        </w:rPr>
        <w:t>-1</w:t>
      </w:r>
      <w:r w:rsidR="002D0C40" w:rsidRPr="006D7DCA">
        <w:rPr>
          <w:rFonts w:ascii="Times New Roman" w:hAnsi="Times New Roman" w:cs="Times New Roman"/>
          <w:sz w:val="22"/>
          <w:szCs w:val="22"/>
          <w:lang w:val="en-US"/>
        </w:rPr>
        <w:t>25.</w:t>
      </w:r>
      <w:r w:rsidR="002D0C40" w:rsidRPr="006D7DCA">
        <w:rPr>
          <w:rFonts w:ascii="Times New Roman" w:hAnsi="Times New Roman" w:cs="Times New Roman"/>
          <w:sz w:val="22"/>
          <w:szCs w:val="22"/>
        </w:rPr>
        <w:t xml:space="preserve"> </w:t>
      </w:r>
      <w:hyperlink r:id="rId8" w:history="1">
        <w:r w:rsidR="002D0C40" w:rsidRPr="006D7DCA">
          <w:rPr>
            <w:rStyle w:val="Hipervnculo"/>
            <w:rFonts w:ascii="Times New Roman" w:hAnsi="Times New Roman" w:cs="Times New Roman"/>
            <w:color w:val="auto"/>
            <w:sz w:val="22"/>
            <w:szCs w:val="22"/>
          </w:rPr>
          <w:t>https://doi.org/</w:t>
        </w:r>
        <w:r w:rsidR="002D0C40" w:rsidRPr="006D7DCA">
          <w:rPr>
            <w:rStyle w:val="Hipervnculo"/>
            <w:rFonts w:ascii="Times New Roman" w:hAnsi="Times New Roman" w:cs="Times New Roman"/>
            <w:color w:val="auto"/>
            <w:sz w:val="22"/>
            <w:szCs w:val="22"/>
            <w:lang w:val="en-US"/>
          </w:rPr>
          <w:t>10.1177/15210251211063611</w:t>
        </w:r>
      </w:hyperlink>
    </w:p>
    <w:p w14:paraId="5D5C03AF"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proofErr w:type="spellStart"/>
      <w:r w:rsidRPr="006D7DCA">
        <w:rPr>
          <w:rFonts w:ascii="Times New Roman" w:eastAsia="Calibri" w:hAnsi="Times New Roman" w:cs="Times New Roman"/>
          <w:sz w:val="22"/>
          <w:szCs w:val="22"/>
        </w:rPr>
        <w:t>Argiropoulou</w:t>
      </w:r>
      <w:proofErr w:type="spellEnd"/>
      <w:r w:rsidRPr="006D7DCA">
        <w:rPr>
          <w:rFonts w:ascii="Times New Roman" w:eastAsia="Calibri" w:hAnsi="Times New Roman" w:cs="Times New Roman"/>
          <w:sz w:val="22"/>
          <w:szCs w:val="22"/>
        </w:rPr>
        <w:t xml:space="preserve">, M. I., </w:t>
      </w:r>
      <w:proofErr w:type="spellStart"/>
      <w:r w:rsidRPr="006D7DCA">
        <w:rPr>
          <w:rFonts w:ascii="Times New Roman" w:eastAsia="Calibri" w:hAnsi="Times New Roman" w:cs="Times New Roman"/>
          <w:sz w:val="22"/>
          <w:szCs w:val="22"/>
        </w:rPr>
        <w:t>Κalantzi</w:t>
      </w:r>
      <w:proofErr w:type="spellEnd"/>
      <w:r w:rsidRPr="006D7DCA">
        <w:rPr>
          <w:rFonts w:ascii="Times New Roman" w:eastAsia="Calibri" w:hAnsi="Times New Roman" w:cs="Times New Roman"/>
          <w:sz w:val="22"/>
          <w:szCs w:val="22"/>
        </w:rPr>
        <w:t xml:space="preserve">, A., &amp; Ferrari, J. R. (2020). </w:t>
      </w:r>
      <w:r w:rsidRPr="006D7DCA">
        <w:rPr>
          <w:rFonts w:ascii="Times New Roman" w:eastAsia="Calibri" w:hAnsi="Times New Roman" w:cs="Times New Roman"/>
          <w:sz w:val="22"/>
          <w:szCs w:val="22"/>
          <w:lang w:val="en-US"/>
        </w:rPr>
        <w:t xml:space="preserve">Academic Procrastination in Greek Higher Education: Shedding Light on a Darkened yet Critical Issue. </w:t>
      </w:r>
      <w:r w:rsidRPr="006D7DCA">
        <w:rPr>
          <w:rFonts w:ascii="Times New Roman" w:eastAsia="Calibri" w:hAnsi="Times New Roman" w:cs="Times New Roman"/>
          <w:i/>
          <w:iCs/>
          <w:sz w:val="22"/>
          <w:szCs w:val="22"/>
          <w:lang w:val="en-US"/>
        </w:rPr>
        <w:t>Psychology: The Journal of the Hellenic Psychological Society, 21</w:t>
      </w:r>
      <w:r w:rsidRPr="006D7DCA">
        <w:rPr>
          <w:rFonts w:ascii="Times New Roman" w:eastAsia="Calibri" w:hAnsi="Times New Roman" w:cs="Times New Roman"/>
          <w:sz w:val="22"/>
          <w:szCs w:val="22"/>
          <w:lang w:val="en-US"/>
        </w:rPr>
        <w:t xml:space="preserve">(2), 149. </w:t>
      </w:r>
      <w:hyperlink r:id="rId9" w:history="1">
        <w:r w:rsidRPr="006D7DCA">
          <w:rPr>
            <w:rFonts w:ascii="Times New Roman" w:eastAsia="Calibri" w:hAnsi="Times New Roman" w:cs="Times New Roman"/>
            <w:sz w:val="22"/>
            <w:szCs w:val="22"/>
            <w:u w:val="single"/>
            <w:lang w:val="en-US"/>
          </w:rPr>
          <w:t>https://doi.org/10.12681/psy_hps.23273</w:t>
        </w:r>
      </w:hyperlink>
      <w:r w:rsidRPr="006D7DCA">
        <w:rPr>
          <w:rFonts w:ascii="Times New Roman" w:eastAsia="Calibri" w:hAnsi="Times New Roman" w:cs="Times New Roman"/>
          <w:sz w:val="22"/>
          <w:szCs w:val="22"/>
          <w:lang w:val="en-US"/>
        </w:rPr>
        <w:t xml:space="preserve"> </w:t>
      </w:r>
    </w:p>
    <w:p w14:paraId="2E0636B4"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rPr>
        <w:t xml:space="preserve">Barraza, A. (2009). Estrés académico y burnout estudiantil. Análisis de su relación en alumnos de licenciatura. </w:t>
      </w:r>
      <w:proofErr w:type="spellStart"/>
      <w:r w:rsidRPr="006D7DCA">
        <w:rPr>
          <w:rFonts w:ascii="Times New Roman" w:hAnsi="Times New Roman" w:cs="Times New Roman"/>
          <w:i/>
          <w:iCs/>
          <w:sz w:val="22"/>
          <w:szCs w:val="22"/>
          <w:lang w:val="en-US"/>
        </w:rPr>
        <w:t>Psicogente</w:t>
      </w:r>
      <w:proofErr w:type="spellEnd"/>
      <w:r w:rsidRPr="006D7DCA">
        <w:rPr>
          <w:rFonts w:ascii="Times New Roman" w:hAnsi="Times New Roman" w:cs="Times New Roman"/>
          <w:sz w:val="22"/>
          <w:szCs w:val="22"/>
          <w:lang w:val="en-US"/>
        </w:rPr>
        <w:t xml:space="preserve">, 12(22), 272-283. </w:t>
      </w:r>
    </w:p>
    <w:p w14:paraId="3F6D60F8" w14:textId="1B7A801A" w:rsidR="008C46E8" w:rsidRPr="006D7DCA" w:rsidRDefault="008C46E8" w:rsidP="00181A0E">
      <w:pPr>
        <w:spacing w:before="240" w:line="360" w:lineRule="auto"/>
        <w:ind w:left="709" w:hanging="709"/>
        <w:jc w:val="both"/>
        <w:rPr>
          <w:rFonts w:ascii="Times New Roman" w:eastAsia="Calibri" w:hAnsi="Times New Roman" w:cs="Times New Roman"/>
          <w:sz w:val="22"/>
          <w:szCs w:val="22"/>
          <w:lang w:val="en-US"/>
        </w:rPr>
      </w:pPr>
      <w:proofErr w:type="spellStart"/>
      <w:r w:rsidRPr="006D7DCA">
        <w:rPr>
          <w:rFonts w:ascii="Times New Roman" w:eastAsia="Calibri" w:hAnsi="Times New Roman" w:cs="Times New Roman"/>
          <w:sz w:val="22"/>
          <w:szCs w:val="22"/>
          <w:lang w:val="en-US"/>
        </w:rPr>
        <w:t>Begdache</w:t>
      </w:r>
      <w:proofErr w:type="spellEnd"/>
      <w:r w:rsidRPr="006D7DCA">
        <w:rPr>
          <w:rFonts w:ascii="Times New Roman" w:eastAsia="Calibri" w:hAnsi="Times New Roman" w:cs="Times New Roman"/>
          <w:sz w:val="22"/>
          <w:szCs w:val="22"/>
          <w:lang w:val="en-US"/>
        </w:rPr>
        <w:t xml:space="preserve">, L., </w:t>
      </w:r>
      <w:proofErr w:type="spellStart"/>
      <w:r w:rsidRPr="006D7DCA">
        <w:rPr>
          <w:rFonts w:ascii="Times New Roman" w:eastAsia="Calibri" w:hAnsi="Times New Roman" w:cs="Times New Roman"/>
          <w:sz w:val="22"/>
          <w:szCs w:val="22"/>
          <w:lang w:val="en-US"/>
        </w:rPr>
        <w:t>Kianmehr</w:t>
      </w:r>
      <w:proofErr w:type="spellEnd"/>
      <w:r w:rsidRPr="006D7DCA">
        <w:rPr>
          <w:rFonts w:ascii="Times New Roman" w:eastAsia="Calibri" w:hAnsi="Times New Roman" w:cs="Times New Roman"/>
          <w:sz w:val="22"/>
          <w:szCs w:val="22"/>
          <w:lang w:val="en-US"/>
        </w:rPr>
        <w:t xml:space="preserve">, H., </w:t>
      </w:r>
      <w:proofErr w:type="spellStart"/>
      <w:r w:rsidRPr="006D7DCA">
        <w:rPr>
          <w:rFonts w:ascii="Times New Roman" w:eastAsia="Calibri" w:hAnsi="Times New Roman" w:cs="Times New Roman"/>
          <w:sz w:val="22"/>
          <w:szCs w:val="22"/>
          <w:lang w:val="en-US"/>
        </w:rPr>
        <w:t>Sabounchi</w:t>
      </w:r>
      <w:proofErr w:type="spellEnd"/>
      <w:r w:rsidRPr="006D7DCA">
        <w:rPr>
          <w:rFonts w:ascii="Times New Roman" w:eastAsia="Calibri" w:hAnsi="Times New Roman" w:cs="Times New Roman"/>
          <w:sz w:val="22"/>
          <w:szCs w:val="22"/>
          <w:lang w:val="en-US"/>
        </w:rPr>
        <w:t>, N., Marszalek, A., &amp; Dolma, N. (2019). Principal component regression of academic performance, substance use and sleep quality in relation to risk of anxiety and depression in young adults. </w:t>
      </w:r>
      <w:r w:rsidRPr="006D7DCA">
        <w:rPr>
          <w:rFonts w:ascii="Times New Roman" w:eastAsia="Calibri" w:hAnsi="Times New Roman" w:cs="Times New Roman"/>
          <w:i/>
          <w:iCs/>
          <w:sz w:val="22"/>
          <w:szCs w:val="22"/>
          <w:lang w:val="en-US"/>
        </w:rPr>
        <w:t>Trends in Neuroscience and Education</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15</w:t>
      </w:r>
      <w:r w:rsidRPr="006D7DCA">
        <w:rPr>
          <w:rFonts w:ascii="Times New Roman" w:eastAsia="Calibri" w:hAnsi="Times New Roman" w:cs="Times New Roman"/>
          <w:sz w:val="22"/>
          <w:szCs w:val="22"/>
          <w:lang w:val="en-US"/>
        </w:rPr>
        <w:t>, 29-37.</w:t>
      </w:r>
      <w:r w:rsidR="00AD2D2A" w:rsidRPr="006D7DCA">
        <w:t xml:space="preserve"> </w:t>
      </w:r>
      <w:hyperlink r:id="rId10" w:history="1">
        <w:r w:rsidR="00AD2D2A" w:rsidRPr="006D7DCA">
          <w:rPr>
            <w:rStyle w:val="Hipervnculo"/>
            <w:rFonts w:ascii="Times New Roman" w:eastAsia="Calibri" w:hAnsi="Times New Roman" w:cs="Times New Roman"/>
            <w:color w:val="auto"/>
            <w:sz w:val="22"/>
            <w:szCs w:val="22"/>
            <w:lang w:val="en-US"/>
          </w:rPr>
          <w:t>https://doi.org/10.1016/j.tine.2019.03.002</w:t>
        </w:r>
      </w:hyperlink>
    </w:p>
    <w:p w14:paraId="3DBE453A" w14:textId="77777777" w:rsidR="00AD2D2A" w:rsidRPr="006D7DCA" w:rsidRDefault="008C46E8" w:rsidP="00AD2D2A">
      <w:pPr>
        <w:spacing w:before="240" w:line="360" w:lineRule="auto"/>
        <w:ind w:left="709" w:hanging="709"/>
        <w:jc w:val="both"/>
      </w:pPr>
      <w:r w:rsidRPr="006D7DCA">
        <w:rPr>
          <w:rFonts w:ascii="Times New Roman" w:eastAsia="Calibri" w:hAnsi="Times New Roman" w:cs="Times New Roman"/>
          <w:sz w:val="22"/>
          <w:szCs w:val="22"/>
          <w:lang w:val="en-US"/>
        </w:rPr>
        <w:t xml:space="preserve">Beiter, R., Nash, R., McCrady, M., Rhoades, D., Linscomb, M., Clarahan, M., &amp; Sammut, S. (2015). The prevalence and correlates of depression, anxiety, and stress in a sample of college students. </w:t>
      </w:r>
      <w:r w:rsidRPr="006D7DCA">
        <w:rPr>
          <w:rFonts w:ascii="Times New Roman" w:eastAsia="Calibri" w:hAnsi="Times New Roman" w:cs="Times New Roman"/>
          <w:i/>
          <w:iCs/>
          <w:sz w:val="22"/>
          <w:szCs w:val="22"/>
          <w:lang w:val="en-US"/>
        </w:rPr>
        <w:t>Journal of affective disorders, 173</w:t>
      </w:r>
      <w:r w:rsidRPr="006D7DCA">
        <w:rPr>
          <w:rFonts w:ascii="Times New Roman" w:eastAsia="Calibri" w:hAnsi="Times New Roman" w:cs="Times New Roman"/>
          <w:sz w:val="22"/>
          <w:szCs w:val="22"/>
          <w:lang w:val="en-US"/>
        </w:rPr>
        <w:t xml:space="preserve">, 90–96. </w:t>
      </w:r>
      <w:hyperlink r:id="rId11" w:history="1">
        <w:r w:rsidRPr="006D7DCA">
          <w:rPr>
            <w:rFonts w:ascii="Times New Roman" w:eastAsia="Calibri" w:hAnsi="Times New Roman" w:cs="Times New Roman"/>
            <w:sz w:val="22"/>
            <w:szCs w:val="22"/>
            <w:u w:val="single"/>
            <w:lang w:val="en-US"/>
          </w:rPr>
          <w:t>https://doi.org/10.1016/j.jad.2014.10.054</w:t>
        </w:r>
      </w:hyperlink>
    </w:p>
    <w:p w14:paraId="17B040ED" w14:textId="63ACBDEA" w:rsidR="008C46E8" w:rsidRPr="006D7DCA" w:rsidRDefault="008C46E8" w:rsidP="00AD2D2A">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 xml:space="preserve">Brando-Garrido, C., Montes-Hidalgo, J., </w:t>
      </w:r>
      <w:proofErr w:type="spellStart"/>
      <w:r w:rsidRPr="006D7DCA">
        <w:rPr>
          <w:rFonts w:ascii="Times New Roman" w:hAnsi="Times New Roman" w:cs="Times New Roman"/>
          <w:sz w:val="22"/>
          <w:szCs w:val="22"/>
          <w:lang w:val="en-US"/>
        </w:rPr>
        <w:t>Limonero</w:t>
      </w:r>
      <w:proofErr w:type="spellEnd"/>
      <w:r w:rsidRPr="006D7DCA">
        <w:rPr>
          <w:rFonts w:ascii="Times New Roman" w:hAnsi="Times New Roman" w:cs="Times New Roman"/>
          <w:sz w:val="22"/>
          <w:szCs w:val="22"/>
          <w:lang w:val="en-US"/>
        </w:rPr>
        <w:t>, J. T., Gómez-Romero, M. J., &amp; Tomás-Sábado, J. (2020). Academic procrastination in nursing students. Spanish adaptation of the Academic Procrastination Scale-Short Form (APS-SF). </w:t>
      </w:r>
      <w:proofErr w:type="spellStart"/>
      <w:r w:rsidRPr="006D7DCA">
        <w:rPr>
          <w:rFonts w:ascii="Times New Roman" w:hAnsi="Times New Roman" w:cs="Times New Roman"/>
          <w:i/>
          <w:iCs/>
          <w:sz w:val="22"/>
          <w:szCs w:val="22"/>
          <w:lang w:val="en-US"/>
        </w:rPr>
        <w:t>Enfermería</w:t>
      </w:r>
      <w:proofErr w:type="spellEnd"/>
      <w:r w:rsidRPr="006D7DCA">
        <w:rPr>
          <w:rFonts w:ascii="Times New Roman" w:hAnsi="Times New Roman" w:cs="Times New Roman"/>
          <w:i/>
          <w:iCs/>
          <w:sz w:val="22"/>
          <w:szCs w:val="22"/>
          <w:lang w:val="en-US"/>
        </w:rPr>
        <w:t xml:space="preserve"> </w:t>
      </w:r>
      <w:proofErr w:type="spellStart"/>
      <w:r w:rsidRPr="006D7DCA">
        <w:rPr>
          <w:rFonts w:ascii="Times New Roman" w:hAnsi="Times New Roman" w:cs="Times New Roman"/>
          <w:i/>
          <w:iCs/>
          <w:sz w:val="22"/>
          <w:szCs w:val="22"/>
          <w:lang w:val="en-US"/>
        </w:rPr>
        <w:t>Clínica</w:t>
      </w:r>
      <w:proofErr w:type="spellEnd"/>
      <w:r w:rsidRPr="006D7DCA">
        <w:rPr>
          <w:rFonts w:ascii="Times New Roman" w:hAnsi="Times New Roman" w:cs="Times New Roman"/>
          <w:i/>
          <w:iCs/>
          <w:sz w:val="22"/>
          <w:szCs w:val="22"/>
          <w:lang w:val="en-US"/>
        </w:rPr>
        <w:t xml:space="preserve"> (English Edition)</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30</w:t>
      </w:r>
      <w:r w:rsidRPr="006D7DCA">
        <w:rPr>
          <w:rFonts w:ascii="Times New Roman" w:hAnsi="Times New Roman" w:cs="Times New Roman"/>
          <w:sz w:val="22"/>
          <w:szCs w:val="22"/>
          <w:lang w:val="en-US"/>
        </w:rPr>
        <w:t>(6), 371-376.</w:t>
      </w:r>
      <w:r w:rsidR="00AD2D2A" w:rsidRPr="006D7DCA">
        <w:t xml:space="preserve"> </w:t>
      </w:r>
      <w:hyperlink r:id="rId12" w:history="1">
        <w:r w:rsidR="00AD2D2A" w:rsidRPr="006D7DCA">
          <w:rPr>
            <w:rStyle w:val="Hipervnculo"/>
            <w:rFonts w:ascii="Times New Roman" w:hAnsi="Times New Roman" w:cs="Times New Roman"/>
            <w:color w:val="auto"/>
            <w:sz w:val="22"/>
            <w:szCs w:val="22"/>
            <w:lang w:val="en-US"/>
          </w:rPr>
          <w:t>https://doi.org/10.1016/j.enfcli.2020.02.018</w:t>
        </w:r>
      </w:hyperlink>
    </w:p>
    <w:p w14:paraId="5FB78DC0" w14:textId="703AAEF4"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Budimir, S., Probst, T., &amp; Pieh, C. (2021). Coping strategies and mental health during COVID-19 lockdown. </w:t>
      </w:r>
      <w:r w:rsidRPr="006D7DCA">
        <w:rPr>
          <w:rFonts w:ascii="Times New Roman" w:hAnsi="Times New Roman" w:cs="Times New Roman"/>
          <w:i/>
          <w:iCs/>
          <w:sz w:val="22"/>
          <w:szCs w:val="22"/>
          <w:lang w:val="en-US"/>
        </w:rPr>
        <w:t>Journal of Mental Health</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30</w:t>
      </w:r>
      <w:r w:rsidRPr="006D7DCA">
        <w:rPr>
          <w:rFonts w:ascii="Times New Roman" w:hAnsi="Times New Roman" w:cs="Times New Roman"/>
          <w:sz w:val="22"/>
          <w:szCs w:val="22"/>
          <w:lang w:val="en-US"/>
        </w:rPr>
        <w:t>(2), 156-163.</w:t>
      </w:r>
      <w:r w:rsidR="00AD2D2A" w:rsidRPr="006D7DCA">
        <w:t xml:space="preserve"> </w:t>
      </w:r>
      <w:hyperlink r:id="rId13" w:history="1">
        <w:r w:rsidR="00AD2D2A" w:rsidRPr="006D7DCA">
          <w:rPr>
            <w:rStyle w:val="Hipervnculo"/>
            <w:rFonts w:ascii="Times New Roman" w:hAnsi="Times New Roman" w:cs="Times New Roman"/>
            <w:color w:val="auto"/>
            <w:sz w:val="22"/>
            <w:szCs w:val="22"/>
            <w:lang w:val="en-US"/>
          </w:rPr>
          <w:t>https://doi.org/10.1080/09638237.2021.1875412</w:t>
        </w:r>
      </w:hyperlink>
    </w:p>
    <w:p w14:paraId="0D595961" w14:textId="251467DB" w:rsidR="00492FD3" w:rsidRPr="006D7DCA" w:rsidRDefault="00492FD3"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 xml:space="preserve">Burrows, T. L., </w:t>
      </w:r>
      <w:proofErr w:type="spellStart"/>
      <w:r w:rsidRPr="006D7DCA">
        <w:rPr>
          <w:rFonts w:ascii="Times New Roman" w:hAnsi="Times New Roman" w:cs="Times New Roman"/>
          <w:sz w:val="22"/>
          <w:szCs w:val="22"/>
          <w:lang w:val="en-US"/>
        </w:rPr>
        <w:t>Whatnall</w:t>
      </w:r>
      <w:proofErr w:type="spellEnd"/>
      <w:r w:rsidRPr="006D7DCA">
        <w:rPr>
          <w:rFonts w:ascii="Times New Roman" w:hAnsi="Times New Roman" w:cs="Times New Roman"/>
          <w:sz w:val="22"/>
          <w:szCs w:val="22"/>
          <w:lang w:val="en-US"/>
        </w:rPr>
        <w:t xml:space="preserve">, M. C., Patterson, A. J., &amp; </w:t>
      </w:r>
      <w:proofErr w:type="spellStart"/>
      <w:r w:rsidRPr="006D7DCA">
        <w:rPr>
          <w:rFonts w:ascii="Times New Roman" w:hAnsi="Times New Roman" w:cs="Times New Roman"/>
          <w:sz w:val="22"/>
          <w:szCs w:val="22"/>
          <w:lang w:val="en-US"/>
        </w:rPr>
        <w:t>Hutchesson</w:t>
      </w:r>
      <w:proofErr w:type="spellEnd"/>
      <w:r w:rsidRPr="006D7DCA">
        <w:rPr>
          <w:rFonts w:ascii="Times New Roman" w:hAnsi="Times New Roman" w:cs="Times New Roman"/>
          <w:sz w:val="22"/>
          <w:szCs w:val="22"/>
          <w:lang w:val="en-US"/>
        </w:rPr>
        <w:t xml:space="preserve">, M. J. (2017). Associations between Dietary Intake and Academic Achievement in College Students: A Systematic Review. </w:t>
      </w:r>
      <w:r w:rsidRPr="006D7DCA">
        <w:rPr>
          <w:rFonts w:ascii="Times New Roman" w:hAnsi="Times New Roman" w:cs="Times New Roman"/>
          <w:i/>
          <w:iCs/>
          <w:sz w:val="22"/>
          <w:szCs w:val="22"/>
          <w:lang w:val="en-US"/>
        </w:rPr>
        <w:t>Healthcare 5</w:t>
      </w:r>
      <w:r w:rsidRPr="006D7DCA">
        <w:rPr>
          <w:rFonts w:ascii="Times New Roman" w:hAnsi="Times New Roman" w:cs="Times New Roman"/>
          <w:sz w:val="22"/>
          <w:szCs w:val="22"/>
          <w:lang w:val="en-US"/>
        </w:rPr>
        <w:t xml:space="preserve">(4), </w:t>
      </w:r>
      <w:r w:rsidR="00D51A11" w:rsidRPr="006D7DCA">
        <w:rPr>
          <w:rFonts w:ascii="Times New Roman" w:hAnsi="Times New Roman" w:cs="Times New Roman"/>
          <w:sz w:val="22"/>
          <w:szCs w:val="22"/>
          <w:lang w:val="en-US"/>
        </w:rPr>
        <w:t>60</w:t>
      </w:r>
      <w:r w:rsidRPr="006D7DCA">
        <w:rPr>
          <w:rFonts w:ascii="Times New Roman" w:hAnsi="Times New Roman" w:cs="Times New Roman"/>
          <w:sz w:val="22"/>
          <w:szCs w:val="22"/>
          <w:lang w:val="en-US"/>
        </w:rPr>
        <w:t xml:space="preserve">. </w:t>
      </w:r>
      <w:hyperlink r:id="rId14" w:history="1">
        <w:r w:rsidR="00AD2D2A" w:rsidRPr="006D7DCA">
          <w:rPr>
            <w:rStyle w:val="Hipervnculo"/>
            <w:rFonts w:ascii="Times New Roman" w:hAnsi="Times New Roman" w:cs="Times New Roman"/>
            <w:color w:val="auto"/>
            <w:sz w:val="22"/>
            <w:szCs w:val="22"/>
            <w:lang w:val="en-US"/>
          </w:rPr>
          <w:t>https://doi.org/10.3390/healthcare5040060</w:t>
        </w:r>
      </w:hyperlink>
    </w:p>
    <w:p w14:paraId="1FC5EDCC"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proofErr w:type="spellStart"/>
      <w:r w:rsidRPr="006D7DCA">
        <w:rPr>
          <w:rFonts w:ascii="Times New Roman" w:hAnsi="Times New Roman" w:cs="Times New Roman"/>
          <w:sz w:val="22"/>
          <w:szCs w:val="22"/>
          <w:lang w:val="en-US"/>
        </w:rPr>
        <w:t>Cabanach</w:t>
      </w:r>
      <w:proofErr w:type="spellEnd"/>
      <w:r w:rsidRPr="006D7DCA">
        <w:rPr>
          <w:rFonts w:ascii="Times New Roman" w:hAnsi="Times New Roman" w:cs="Times New Roman"/>
          <w:sz w:val="22"/>
          <w:szCs w:val="22"/>
          <w:lang w:val="en-US"/>
        </w:rPr>
        <w:t xml:space="preserve">, R. G., Valle, A., Rodríguez, S., Piñeiro, I., &amp; Freire, C. (2010). </w:t>
      </w:r>
      <w:r w:rsidRPr="006D7DCA">
        <w:rPr>
          <w:rFonts w:ascii="Times New Roman" w:hAnsi="Times New Roman" w:cs="Times New Roman"/>
          <w:sz w:val="22"/>
          <w:szCs w:val="22"/>
        </w:rPr>
        <w:t>Escala de afrontamiento del estrés académico (A-CEA). </w:t>
      </w:r>
      <w:r w:rsidRPr="006D7DCA">
        <w:rPr>
          <w:rFonts w:ascii="Times New Roman" w:hAnsi="Times New Roman" w:cs="Times New Roman"/>
          <w:i/>
          <w:iCs/>
          <w:sz w:val="22"/>
          <w:szCs w:val="22"/>
        </w:rPr>
        <w:t>Revista iberoamericana de psicología y salud</w:t>
      </w:r>
      <w:r w:rsidRPr="006D7DCA">
        <w:rPr>
          <w:rFonts w:ascii="Times New Roman" w:hAnsi="Times New Roman" w:cs="Times New Roman"/>
          <w:sz w:val="22"/>
          <w:szCs w:val="22"/>
        </w:rPr>
        <w:t>, </w:t>
      </w:r>
      <w:r w:rsidRPr="006D7DCA">
        <w:rPr>
          <w:rFonts w:ascii="Times New Roman" w:hAnsi="Times New Roman" w:cs="Times New Roman"/>
          <w:i/>
          <w:iCs/>
          <w:sz w:val="22"/>
          <w:szCs w:val="22"/>
        </w:rPr>
        <w:t>1</w:t>
      </w:r>
      <w:r w:rsidRPr="006D7DCA">
        <w:rPr>
          <w:rFonts w:ascii="Times New Roman" w:hAnsi="Times New Roman" w:cs="Times New Roman"/>
          <w:sz w:val="22"/>
          <w:szCs w:val="22"/>
        </w:rPr>
        <w:t>(1), 51-64.</w:t>
      </w:r>
    </w:p>
    <w:p w14:paraId="3803F310" w14:textId="41B11D63" w:rsidR="00AD2D2A" w:rsidRPr="006D7DCA" w:rsidRDefault="008C46E8" w:rsidP="00181A0E">
      <w:pPr>
        <w:spacing w:before="240" w:line="360" w:lineRule="auto"/>
        <w:ind w:left="709" w:hanging="709"/>
        <w:jc w:val="both"/>
        <w:rPr>
          <w:rFonts w:ascii="Times New Roman" w:eastAsia="Calibri" w:hAnsi="Times New Roman" w:cs="Times New Roman"/>
          <w:sz w:val="22"/>
          <w:szCs w:val="22"/>
          <w:lang w:val="en-US"/>
        </w:rPr>
      </w:pPr>
      <w:r w:rsidRPr="006D7DCA">
        <w:rPr>
          <w:rFonts w:ascii="Times New Roman" w:eastAsia="Calibri" w:hAnsi="Times New Roman" w:cs="Times New Roman"/>
          <w:sz w:val="22"/>
          <w:szCs w:val="22"/>
          <w:lang w:val="en-US"/>
        </w:rPr>
        <w:t>Chu, Y. H., &amp; Li, Y. C. (2022). The impact of online learning on physical and mental health in university students during the COVID-19 pandemic. </w:t>
      </w:r>
      <w:r w:rsidRPr="006D7DCA">
        <w:rPr>
          <w:rFonts w:ascii="Times New Roman" w:eastAsia="Calibri" w:hAnsi="Times New Roman" w:cs="Times New Roman"/>
          <w:i/>
          <w:iCs/>
          <w:sz w:val="22"/>
          <w:szCs w:val="22"/>
          <w:lang w:val="en-US"/>
        </w:rPr>
        <w:t>International Journal of Environmental Research and Public Health</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19</w:t>
      </w:r>
      <w:r w:rsidRPr="006D7DCA">
        <w:rPr>
          <w:rFonts w:ascii="Times New Roman" w:eastAsia="Calibri" w:hAnsi="Times New Roman" w:cs="Times New Roman"/>
          <w:sz w:val="22"/>
          <w:szCs w:val="22"/>
          <w:lang w:val="en-US"/>
        </w:rPr>
        <w:t>(5), 2966.</w:t>
      </w:r>
      <w:r w:rsidR="00AD2D2A" w:rsidRPr="006D7DCA">
        <w:t xml:space="preserve"> </w:t>
      </w:r>
      <w:hyperlink r:id="rId15" w:history="1">
        <w:r w:rsidR="00AD2D2A" w:rsidRPr="006D7DCA">
          <w:rPr>
            <w:rStyle w:val="Hipervnculo"/>
            <w:rFonts w:ascii="Times New Roman" w:eastAsia="Calibri" w:hAnsi="Times New Roman" w:cs="Times New Roman"/>
            <w:color w:val="auto"/>
            <w:sz w:val="22"/>
            <w:szCs w:val="22"/>
            <w:lang w:val="en-US"/>
          </w:rPr>
          <w:t>https://doi.org/10.3390/ijerph19052966</w:t>
        </w:r>
      </w:hyperlink>
    </w:p>
    <w:p w14:paraId="4C93257D" w14:textId="2A4F42FC" w:rsidR="008C46E8" w:rsidRPr="006D7DCA" w:rsidRDefault="008C46E8" w:rsidP="00181A0E">
      <w:pPr>
        <w:spacing w:before="240" w:line="360" w:lineRule="auto"/>
        <w:ind w:left="709" w:hanging="709"/>
        <w:jc w:val="both"/>
        <w:rPr>
          <w:rFonts w:ascii="Times New Roman" w:eastAsia="Calibri" w:hAnsi="Times New Roman" w:cs="Times New Roman"/>
          <w:sz w:val="22"/>
          <w:szCs w:val="22"/>
          <w:lang w:val="en-US"/>
        </w:rPr>
      </w:pPr>
      <w:r w:rsidRPr="006D7DCA">
        <w:rPr>
          <w:rFonts w:ascii="Times New Roman" w:eastAsia="Calibri" w:hAnsi="Times New Roman" w:cs="Times New Roman"/>
          <w:sz w:val="22"/>
          <w:szCs w:val="22"/>
          <w:lang w:val="en-US"/>
        </w:rPr>
        <w:t xml:space="preserve">Córdova-Olivera, P., Gasser-Gordillo, P., Naranjo-Mejía, H., La Fuente-Taborga, I., Grajeda-Chacón, A., &amp; </w:t>
      </w:r>
      <w:proofErr w:type="spellStart"/>
      <w:r w:rsidRPr="006D7DCA">
        <w:rPr>
          <w:rFonts w:ascii="Times New Roman" w:eastAsia="Calibri" w:hAnsi="Times New Roman" w:cs="Times New Roman"/>
          <w:sz w:val="22"/>
          <w:szCs w:val="22"/>
          <w:lang w:val="en-US"/>
        </w:rPr>
        <w:t>Sanjinés</w:t>
      </w:r>
      <w:proofErr w:type="spellEnd"/>
      <w:r w:rsidRPr="006D7DCA">
        <w:rPr>
          <w:rFonts w:ascii="Times New Roman" w:eastAsia="Calibri" w:hAnsi="Times New Roman" w:cs="Times New Roman"/>
          <w:sz w:val="22"/>
          <w:szCs w:val="22"/>
          <w:lang w:val="en-US"/>
        </w:rPr>
        <w:t>-Unzueta, A. (2023). Academic stress as a predictor of mental health in university students. </w:t>
      </w:r>
      <w:r w:rsidRPr="006D7DCA">
        <w:rPr>
          <w:rFonts w:ascii="Times New Roman" w:eastAsia="Calibri" w:hAnsi="Times New Roman" w:cs="Times New Roman"/>
          <w:i/>
          <w:iCs/>
          <w:sz w:val="22"/>
          <w:szCs w:val="22"/>
          <w:lang w:val="en-US"/>
        </w:rPr>
        <w:t>Cogent Education</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10</w:t>
      </w:r>
      <w:r w:rsidRPr="006D7DCA">
        <w:rPr>
          <w:rFonts w:ascii="Times New Roman" w:eastAsia="Calibri" w:hAnsi="Times New Roman" w:cs="Times New Roman"/>
          <w:sz w:val="22"/>
          <w:szCs w:val="22"/>
          <w:lang w:val="en-US"/>
        </w:rPr>
        <w:t>(2), 2232686.</w:t>
      </w:r>
      <w:r w:rsidR="00AD2D2A" w:rsidRPr="006D7DCA">
        <w:t xml:space="preserve"> </w:t>
      </w:r>
      <w:hyperlink r:id="rId16" w:history="1">
        <w:r w:rsidR="00AD2D2A" w:rsidRPr="006D7DCA">
          <w:rPr>
            <w:rStyle w:val="Hipervnculo"/>
            <w:rFonts w:ascii="Times New Roman" w:eastAsia="Calibri" w:hAnsi="Times New Roman" w:cs="Times New Roman"/>
            <w:color w:val="auto"/>
            <w:sz w:val="22"/>
            <w:szCs w:val="22"/>
            <w:lang w:val="en-US"/>
          </w:rPr>
          <w:t>https://doi.org/10.1080/2331186X.2023.2232686</w:t>
        </w:r>
      </w:hyperlink>
    </w:p>
    <w:p w14:paraId="4D345098" w14:textId="77777777" w:rsidR="00AD2D2A" w:rsidRPr="006D7DCA" w:rsidRDefault="00AD2D2A" w:rsidP="00181A0E">
      <w:pPr>
        <w:spacing w:before="240" w:line="360" w:lineRule="auto"/>
        <w:ind w:left="709" w:hanging="709"/>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De Paola, M., Gioia, F., &amp; Scoppa, V. (2022). </w:t>
      </w:r>
      <w:r w:rsidRPr="006D7DCA">
        <w:rPr>
          <w:rFonts w:ascii="Times New Roman" w:eastAsia="Calibri" w:hAnsi="Times New Roman" w:cs="Times New Roman"/>
          <w:i/>
          <w:iCs/>
          <w:sz w:val="22"/>
          <w:szCs w:val="22"/>
        </w:rPr>
        <w:t xml:space="preserve">Online </w:t>
      </w:r>
      <w:proofErr w:type="spellStart"/>
      <w:r w:rsidRPr="006D7DCA">
        <w:rPr>
          <w:rFonts w:ascii="Times New Roman" w:eastAsia="Calibri" w:hAnsi="Times New Roman" w:cs="Times New Roman"/>
          <w:i/>
          <w:iCs/>
          <w:sz w:val="22"/>
          <w:szCs w:val="22"/>
        </w:rPr>
        <w:t>teaching</w:t>
      </w:r>
      <w:proofErr w:type="spellEnd"/>
      <w:r w:rsidRPr="006D7DCA">
        <w:rPr>
          <w:rFonts w:ascii="Times New Roman" w:eastAsia="Calibri" w:hAnsi="Times New Roman" w:cs="Times New Roman"/>
          <w:i/>
          <w:iCs/>
          <w:sz w:val="22"/>
          <w:szCs w:val="22"/>
        </w:rPr>
        <w:t xml:space="preserve">, </w:t>
      </w:r>
      <w:proofErr w:type="spellStart"/>
      <w:r w:rsidRPr="006D7DCA">
        <w:rPr>
          <w:rFonts w:ascii="Times New Roman" w:eastAsia="Calibri" w:hAnsi="Times New Roman" w:cs="Times New Roman"/>
          <w:i/>
          <w:iCs/>
          <w:sz w:val="22"/>
          <w:szCs w:val="22"/>
        </w:rPr>
        <w:t>procrastination</w:t>
      </w:r>
      <w:proofErr w:type="spellEnd"/>
      <w:r w:rsidRPr="006D7DCA">
        <w:rPr>
          <w:rFonts w:ascii="Times New Roman" w:eastAsia="Calibri" w:hAnsi="Times New Roman" w:cs="Times New Roman"/>
          <w:i/>
          <w:iCs/>
          <w:sz w:val="22"/>
          <w:szCs w:val="22"/>
        </w:rPr>
        <w:t xml:space="preserve"> and </w:t>
      </w:r>
      <w:proofErr w:type="spellStart"/>
      <w:r w:rsidRPr="006D7DCA">
        <w:rPr>
          <w:rFonts w:ascii="Times New Roman" w:eastAsia="Calibri" w:hAnsi="Times New Roman" w:cs="Times New Roman"/>
          <w:i/>
          <w:iCs/>
          <w:sz w:val="22"/>
          <w:szCs w:val="22"/>
        </w:rPr>
        <w:t>students</w:t>
      </w:r>
      <w:proofErr w:type="spellEnd"/>
      <w:r w:rsidRPr="006D7DCA">
        <w:rPr>
          <w:rFonts w:ascii="Times New Roman" w:eastAsia="Calibri" w:hAnsi="Times New Roman" w:cs="Times New Roman"/>
          <w:i/>
          <w:iCs/>
          <w:sz w:val="22"/>
          <w:szCs w:val="22"/>
        </w:rPr>
        <w:t xml:space="preserve">' </w:t>
      </w:r>
      <w:proofErr w:type="spellStart"/>
      <w:r w:rsidRPr="006D7DCA">
        <w:rPr>
          <w:rFonts w:ascii="Times New Roman" w:eastAsia="Calibri" w:hAnsi="Times New Roman" w:cs="Times New Roman"/>
          <w:i/>
          <w:iCs/>
          <w:sz w:val="22"/>
          <w:szCs w:val="22"/>
        </w:rPr>
        <w:t>achievement</w:t>
      </w:r>
      <w:proofErr w:type="spellEnd"/>
      <w:r w:rsidRPr="006D7DCA">
        <w:rPr>
          <w:rFonts w:ascii="Times New Roman" w:eastAsia="Calibri" w:hAnsi="Times New Roman" w:cs="Times New Roman"/>
          <w:i/>
          <w:iCs/>
          <w:sz w:val="22"/>
          <w:szCs w:val="22"/>
        </w:rPr>
        <w:t xml:space="preserve">: </w:t>
      </w:r>
      <w:proofErr w:type="spellStart"/>
      <w:r w:rsidRPr="006D7DCA">
        <w:rPr>
          <w:rFonts w:ascii="Times New Roman" w:eastAsia="Calibri" w:hAnsi="Times New Roman" w:cs="Times New Roman"/>
          <w:i/>
          <w:iCs/>
          <w:sz w:val="22"/>
          <w:szCs w:val="22"/>
        </w:rPr>
        <w:t>evidence</w:t>
      </w:r>
      <w:proofErr w:type="spellEnd"/>
      <w:r w:rsidRPr="006D7DCA">
        <w:rPr>
          <w:rFonts w:ascii="Times New Roman" w:eastAsia="Calibri" w:hAnsi="Times New Roman" w:cs="Times New Roman"/>
          <w:i/>
          <w:iCs/>
          <w:sz w:val="22"/>
          <w:szCs w:val="22"/>
        </w:rPr>
        <w:t xml:space="preserve"> </w:t>
      </w:r>
      <w:proofErr w:type="spellStart"/>
      <w:r w:rsidRPr="006D7DCA">
        <w:rPr>
          <w:rFonts w:ascii="Times New Roman" w:eastAsia="Calibri" w:hAnsi="Times New Roman" w:cs="Times New Roman"/>
          <w:i/>
          <w:iCs/>
          <w:sz w:val="22"/>
          <w:szCs w:val="22"/>
        </w:rPr>
        <w:t>from</w:t>
      </w:r>
      <w:proofErr w:type="spellEnd"/>
      <w:r w:rsidRPr="006D7DCA">
        <w:rPr>
          <w:rFonts w:ascii="Times New Roman" w:eastAsia="Calibri" w:hAnsi="Times New Roman" w:cs="Times New Roman"/>
          <w:i/>
          <w:iCs/>
          <w:sz w:val="22"/>
          <w:szCs w:val="22"/>
        </w:rPr>
        <w:t xml:space="preserve"> COVID-19 </w:t>
      </w:r>
      <w:proofErr w:type="spellStart"/>
      <w:r w:rsidRPr="006D7DCA">
        <w:rPr>
          <w:rFonts w:ascii="Times New Roman" w:eastAsia="Calibri" w:hAnsi="Times New Roman" w:cs="Times New Roman"/>
          <w:i/>
          <w:iCs/>
          <w:sz w:val="22"/>
          <w:szCs w:val="22"/>
        </w:rPr>
        <w:t>induced</w:t>
      </w:r>
      <w:proofErr w:type="spellEnd"/>
      <w:r w:rsidRPr="006D7DCA">
        <w:rPr>
          <w:rFonts w:ascii="Times New Roman" w:eastAsia="Calibri" w:hAnsi="Times New Roman" w:cs="Times New Roman"/>
          <w:i/>
          <w:iCs/>
          <w:sz w:val="22"/>
          <w:szCs w:val="22"/>
        </w:rPr>
        <w:t xml:space="preserve"> remote </w:t>
      </w:r>
      <w:proofErr w:type="spellStart"/>
      <w:r w:rsidRPr="006D7DCA">
        <w:rPr>
          <w:rFonts w:ascii="Times New Roman" w:eastAsia="Calibri" w:hAnsi="Times New Roman" w:cs="Times New Roman"/>
          <w:i/>
          <w:iCs/>
          <w:sz w:val="22"/>
          <w:szCs w:val="22"/>
        </w:rPr>
        <w:t>learning</w:t>
      </w:r>
      <w:proofErr w:type="spellEnd"/>
      <w:r w:rsidRPr="006D7DCA">
        <w:rPr>
          <w:rFonts w:ascii="Times New Roman" w:eastAsia="Calibri" w:hAnsi="Times New Roman" w:cs="Times New Roman"/>
          <w:sz w:val="22"/>
          <w:szCs w:val="22"/>
        </w:rPr>
        <w:t xml:space="preserve"> (No. 15031). IZA </w:t>
      </w:r>
      <w:proofErr w:type="spellStart"/>
      <w:r w:rsidRPr="006D7DCA">
        <w:rPr>
          <w:rFonts w:ascii="Times New Roman" w:eastAsia="Calibri" w:hAnsi="Times New Roman" w:cs="Times New Roman"/>
          <w:sz w:val="22"/>
          <w:szCs w:val="22"/>
        </w:rPr>
        <w:t>Discussion</w:t>
      </w:r>
      <w:proofErr w:type="spellEnd"/>
      <w:r w:rsidRPr="006D7DCA">
        <w:rPr>
          <w:rFonts w:ascii="Times New Roman" w:eastAsia="Calibri" w:hAnsi="Times New Roman" w:cs="Times New Roman"/>
          <w:sz w:val="22"/>
          <w:szCs w:val="22"/>
        </w:rPr>
        <w:t xml:space="preserve"> </w:t>
      </w:r>
      <w:proofErr w:type="spellStart"/>
      <w:r w:rsidRPr="006D7DCA">
        <w:rPr>
          <w:rFonts w:ascii="Times New Roman" w:eastAsia="Calibri" w:hAnsi="Times New Roman" w:cs="Times New Roman"/>
          <w:sz w:val="22"/>
          <w:szCs w:val="22"/>
        </w:rPr>
        <w:t>Papers</w:t>
      </w:r>
      <w:proofErr w:type="spellEnd"/>
      <w:r w:rsidRPr="006D7DCA">
        <w:rPr>
          <w:rFonts w:ascii="Times New Roman" w:eastAsia="Calibri" w:hAnsi="Times New Roman" w:cs="Times New Roman"/>
          <w:sz w:val="22"/>
          <w:szCs w:val="22"/>
        </w:rPr>
        <w:t>.</w:t>
      </w:r>
    </w:p>
    <w:p w14:paraId="052CF868" w14:textId="27B44F0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Deyo, A., Wallace, J., &amp; Kidwell, K. M. (2024). Screen time and mental health in college students: time in nature as a protective factor. </w:t>
      </w:r>
      <w:r w:rsidRPr="006D7DCA">
        <w:rPr>
          <w:rFonts w:ascii="Times New Roman" w:hAnsi="Times New Roman" w:cs="Times New Roman"/>
          <w:i/>
          <w:iCs/>
          <w:sz w:val="22"/>
          <w:szCs w:val="22"/>
          <w:lang w:val="en-US"/>
        </w:rPr>
        <w:t>Journal of American College Health</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72</w:t>
      </w:r>
      <w:r w:rsidRPr="006D7DCA">
        <w:rPr>
          <w:rFonts w:ascii="Times New Roman" w:hAnsi="Times New Roman" w:cs="Times New Roman"/>
          <w:sz w:val="22"/>
          <w:szCs w:val="22"/>
          <w:lang w:val="en-US"/>
        </w:rPr>
        <w:t>(8), 3025-3032.</w:t>
      </w:r>
      <w:r w:rsidR="00270952" w:rsidRPr="006D7DCA">
        <w:t xml:space="preserve"> </w:t>
      </w:r>
      <w:hyperlink r:id="rId17" w:history="1">
        <w:r w:rsidR="00270952" w:rsidRPr="006D7DCA">
          <w:rPr>
            <w:rStyle w:val="Hipervnculo"/>
            <w:rFonts w:ascii="Times New Roman" w:hAnsi="Times New Roman" w:cs="Times New Roman"/>
            <w:color w:val="auto"/>
            <w:sz w:val="22"/>
            <w:szCs w:val="22"/>
            <w:lang w:val="en-US"/>
          </w:rPr>
          <w:t>https://doi.org/10.1080/07448481.2022.2151843</w:t>
        </w:r>
      </w:hyperlink>
    </w:p>
    <w:p w14:paraId="29425352" w14:textId="02E6490C" w:rsidR="008C46E8" w:rsidRPr="006D7DCA" w:rsidRDefault="008C46E8" w:rsidP="00181A0E">
      <w:pPr>
        <w:spacing w:before="240" w:line="360" w:lineRule="auto"/>
        <w:ind w:left="709" w:hanging="709"/>
        <w:jc w:val="both"/>
        <w:rPr>
          <w:rFonts w:ascii="Times New Roman" w:eastAsia="Calibri" w:hAnsi="Times New Roman" w:cs="Times New Roman"/>
          <w:sz w:val="22"/>
          <w:szCs w:val="22"/>
          <w:lang w:val="en-US"/>
        </w:rPr>
      </w:pPr>
      <w:r w:rsidRPr="006D7DCA">
        <w:rPr>
          <w:rFonts w:ascii="Times New Roman" w:eastAsia="Calibri" w:hAnsi="Times New Roman" w:cs="Times New Roman"/>
          <w:sz w:val="22"/>
          <w:szCs w:val="22"/>
          <w:lang w:val="en-US"/>
        </w:rPr>
        <w:t>Drake, C., Richardson, G., Roehrs, T., Scofield, H., &amp; Roth, T. (2004). Vulnerability to stress-related sleep disturbance and hyperarousal. </w:t>
      </w:r>
      <w:r w:rsidRPr="006D7DCA">
        <w:rPr>
          <w:rFonts w:ascii="Times New Roman" w:eastAsia="Calibri" w:hAnsi="Times New Roman" w:cs="Times New Roman"/>
          <w:i/>
          <w:iCs/>
          <w:sz w:val="22"/>
          <w:szCs w:val="22"/>
          <w:lang w:val="en-US"/>
        </w:rPr>
        <w:t>Sleep</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27</w:t>
      </w:r>
      <w:r w:rsidRPr="006D7DCA">
        <w:rPr>
          <w:rFonts w:ascii="Times New Roman" w:eastAsia="Calibri" w:hAnsi="Times New Roman" w:cs="Times New Roman"/>
          <w:sz w:val="22"/>
          <w:szCs w:val="22"/>
          <w:lang w:val="en-US"/>
        </w:rPr>
        <w:t>(2), 285-291.</w:t>
      </w:r>
      <w:r w:rsidR="00270952" w:rsidRPr="006D7DCA">
        <w:t xml:space="preserve"> </w:t>
      </w:r>
      <w:hyperlink r:id="rId18" w:history="1">
        <w:r w:rsidR="00270952" w:rsidRPr="006D7DCA">
          <w:rPr>
            <w:rStyle w:val="Hipervnculo"/>
            <w:rFonts w:ascii="Times New Roman" w:eastAsia="Calibri" w:hAnsi="Times New Roman" w:cs="Times New Roman"/>
            <w:color w:val="auto"/>
            <w:sz w:val="22"/>
            <w:szCs w:val="22"/>
            <w:lang w:val="en-US"/>
          </w:rPr>
          <w:t>https://doi.org/10.1093/sleep/27.2.285</w:t>
        </w:r>
      </w:hyperlink>
    </w:p>
    <w:p w14:paraId="70834AB3" w14:textId="1AF2D3D6" w:rsidR="008C46E8" w:rsidRPr="006D7DCA" w:rsidRDefault="008C46E8" w:rsidP="00270952">
      <w:pPr>
        <w:spacing w:before="240" w:line="360" w:lineRule="auto"/>
        <w:ind w:left="709" w:hanging="709"/>
        <w:jc w:val="both"/>
        <w:rPr>
          <w:rFonts w:ascii="Times New Roman" w:hAnsi="Times New Roman" w:cs="Times New Roman"/>
          <w:i/>
          <w:iCs/>
          <w:sz w:val="22"/>
          <w:szCs w:val="22"/>
          <w:lang w:val="en-US"/>
        </w:rPr>
      </w:pPr>
      <w:r w:rsidRPr="006D7DCA">
        <w:rPr>
          <w:rFonts w:ascii="Times New Roman" w:hAnsi="Times New Roman" w:cs="Times New Roman"/>
          <w:sz w:val="22"/>
          <w:szCs w:val="22"/>
        </w:rPr>
        <w:t xml:space="preserve">Errazuriz, A., Avello-Vega, D., Passi-Solar, A., Torres, R., Bacigalupo, F., Crossley, N. A., ... </w:t>
      </w:r>
      <w:r w:rsidRPr="006D7DCA">
        <w:rPr>
          <w:rFonts w:ascii="Times New Roman" w:hAnsi="Times New Roman" w:cs="Times New Roman"/>
          <w:sz w:val="22"/>
          <w:szCs w:val="22"/>
          <w:lang w:val="en-US"/>
        </w:rPr>
        <w:t xml:space="preserve">&amp; Jones, P. B. (2025). Prevalence of anxiety disorders in Latin America: a systematic review and meta-analysis. </w:t>
      </w:r>
      <w:r w:rsidRPr="006D7DCA">
        <w:rPr>
          <w:rFonts w:ascii="Times New Roman" w:hAnsi="Times New Roman" w:cs="Times New Roman"/>
          <w:i/>
          <w:iCs/>
          <w:sz w:val="22"/>
          <w:szCs w:val="22"/>
          <w:lang w:val="en-US"/>
        </w:rPr>
        <w:t>The Lancet Regional Health–Americas, 45.</w:t>
      </w:r>
      <w:r w:rsidR="00270952" w:rsidRPr="006D7DCA">
        <w:t xml:space="preserve"> </w:t>
      </w:r>
      <w:hyperlink r:id="rId19" w:history="1">
        <w:r w:rsidR="00270952" w:rsidRPr="006D7DCA">
          <w:rPr>
            <w:rStyle w:val="Hipervnculo"/>
            <w:rFonts w:ascii="Times New Roman" w:hAnsi="Times New Roman" w:cs="Times New Roman"/>
            <w:color w:val="auto"/>
            <w:sz w:val="22"/>
            <w:szCs w:val="22"/>
            <w:lang w:val="en-US"/>
          </w:rPr>
          <w:t>https://doi.org/10.1016/j.lana.2025.101057</w:t>
        </w:r>
      </w:hyperlink>
    </w:p>
    <w:p w14:paraId="576C82DA" w14:textId="4E23236E" w:rsidR="00270952" w:rsidRPr="006D7DCA" w:rsidRDefault="008C46E8" w:rsidP="00270952">
      <w:pPr>
        <w:spacing w:before="240" w:line="360" w:lineRule="auto"/>
        <w:ind w:left="709" w:hanging="709"/>
        <w:jc w:val="both"/>
        <w:rPr>
          <w:rFonts w:ascii="Times New Roman" w:hAnsi="Times New Roman" w:cs="Times New Roman"/>
          <w:sz w:val="22"/>
          <w:szCs w:val="22"/>
          <w:lang w:val="en-US"/>
        </w:rPr>
      </w:pPr>
      <w:proofErr w:type="spellStart"/>
      <w:r w:rsidRPr="006D7DCA">
        <w:rPr>
          <w:rFonts w:ascii="Times New Roman" w:eastAsia="Calibri" w:hAnsi="Times New Roman" w:cs="Times New Roman"/>
          <w:sz w:val="22"/>
          <w:szCs w:val="22"/>
          <w:lang w:val="en-US"/>
        </w:rPr>
        <w:t>Errazuriz</w:t>
      </w:r>
      <w:proofErr w:type="spellEnd"/>
      <w:r w:rsidRPr="006D7DCA">
        <w:rPr>
          <w:rFonts w:ascii="Times New Roman" w:eastAsia="Calibri" w:hAnsi="Times New Roman" w:cs="Times New Roman"/>
          <w:sz w:val="22"/>
          <w:szCs w:val="22"/>
          <w:lang w:val="en-US"/>
        </w:rPr>
        <w:t>, A., Avello-Vega, D., Ramirez-</w:t>
      </w:r>
      <w:proofErr w:type="spellStart"/>
      <w:r w:rsidRPr="006D7DCA">
        <w:rPr>
          <w:rFonts w:ascii="Times New Roman" w:eastAsia="Calibri" w:hAnsi="Times New Roman" w:cs="Times New Roman"/>
          <w:sz w:val="22"/>
          <w:szCs w:val="22"/>
          <w:lang w:val="en-US"/>
        </w:rPr>
        <w:t>Mahaluf</w:t>
      </w:r>
      <w:proofErr w:type="spellEnd"/>
      <w:r w:rsidRPr="006D7DCA">
        <w:rPr>
          <w:rFonts w:ascii="Times New Roman" w:eastAsia="Calibri" w:hAnsi="Times New Roman" w:cs="Times New Roman"/>
          <w:sz w:val="22"/>
          <w:szCs w:val="22"/>
          <w:lang w:val="en-US"/>
        </w:rPr>
        <w:t xml:space="preserve">, J. P., Torres, R., Crossley, N. A., </w:t>
      </w:r>
      <w:proofErr w:type="spellStart"/>
      <w:r w:rsidRPr="006D7DCA">
        <w:rPr>
          <w:rFonts w:ascii="Times New Roman" w:eastAsia="Calibri" w:hAnsi="Times New Roman" w:cs="Times New Roman"/>
          <w:sz w:val="22"/>
          <w:szCs w:val="22"/>
          <w:lang w:val="en-US"/>
        </w:rPr>
        <w:t>Undurraga</w:t>
      </w:r>
      <w:proofErr w:type="spellEnd"/>
      <w:r w:rsidRPr="006D7DCA">
        <w:rPr>
          <w:rFonts w:ascii="Times New Roman" w:eastAsia="Calibri" w:hAnsi="Times New Roman" w:cs="Times New Roman"/>
          <w:sz w:val="22"/>
          <w:szCs w:val="22"/>
          <w:lang w:val="en-US"/>
        </w:rPr>
        <w:t xml:space="preserve">, E. A., &amp; Jones, P. B. (2023). Prevalence of depressive disorder in the adult population of Latin America: a systematic review and meta-analysis. </w:t>
      </w:r>
      <w:r w:rsidRPr="006D7DCA">
        <w:rPr>
          <w:rFonts w:ascii="Times New Roman" w:eastAsia="Calibri" w:hAnsi="Times New Roman" w:cs="Times New Roman"/>
          <w:i/>
          <w:iCs/>
          <w:sz w:val="22"/>
          <w:szCs w:val="22"/>
          <w:lang w:val="en-US"/>
        </w:rPr>
        <w:t>The Lancet Regional Health–Americas, 26</w:t>
      </w:r>
      <w:r w:rsidRPr="006D7DCA">
        <w:rPr>
          <w:rFonts w:ascii="Times New Roman" w:eastAsia="Calibri" w:hAnsi="Times New Roman" w:cs="Times New Roman"/>
          <w:sz w:val="22"/>
          <w:szCs w:val="22"/>
          <w:lang w:val="en-US"/>
        </w:rPr>
        <w:t>.</w:t>
      </w:r>
      <w:r w:rsidR="00270952" w:rsidRPr="006D7DCA">
        <w:rPr>
          <w:rFonts w:ascii="Times New Roman" w:hAnsi="Times New Roman" w:cs="Times New Roman"/>
          <w:sz w:val="22"/>
          <w:szCs w:val="22"/>
          <w:lang w:val="en-US"/>
        </w:rPr>
        <w:t xml:space="preserve"> </w:t>
      </w:r>
      <w:hyperlink r:id="rId20" w:history="1">
        <w:r w:rsidR="00270952" w:rsidRPr="006D7DCA">
          <w:rPr>
            <w:rStyle w:val="Hipervnculo"/>
            <w:rFonts w:ascii="Times New Roman" w:hAnsi="Times New Roman" w:cs="Times New Roman"/>
            <w:color w:val="auto"/>
            <w:sz w:val="22"/>
            <w:szCs w:val="22"/>
            <w:lang w:val="en-US"/>
          </w:rPr>
          <w:t>https://doi.org/10.1016/j.lana.2023.100587</w:t>
        </w:r>
      </w:hyperlink>
    </w:p>
    <w:p w14:paraId="5C686C40" w14:textId="77777777" w:rsidR="008C46E8" w:rsidRPr="006D7DCA" w:rsidRDefault="008C46E8" w:rsidP="008C46E8">
      <w:pPr>
        <w:spacing w:before="240" w:line="360" w:lineRule="auto"/>
        <w:ind w:left="709" w:hanging="709"/>
        <w:jc w:val="both"/>
        <w:rPr>
          <w:rFonts w:ascii="Times New Roman" w:eastAsia="Calibri" w:hAnsi="Times New Roman" w:cs="Times New Roman"/>
          <w:sz w:val="22"/>
          <w:szCs w:val="22"/>
          <w:lang w:val="en-US"/>
        </w:rPr>
      </w:pPr>
      <w:r w:rsidRPr="006D7DCA">
        <w:rPr>
          <w:rFonts w:ascii="Times New Roman" w:eastAsia="Calibri" w:hAnsi="Times New Roman" w:cs="Times New Roman"/>
          <w:sz w:val="22"/>
          <w:szCs w:val="22"/>
          <w:lang w:val="en-US"/>
        </w:rPr>
        <w:t xml:space="preserve">European Commission. (2023). </w:t>
      </w:r>
      <w:r w:rsidRPr="006D7DCA">
        <w:rPr>
          <w:rFonts w:ascii="Times New Roman" w:eastAsia="Calibri" w:hAnsi="Times New Roman" w:cs="Times New Roman"/>
          <w:i/>
          <w:iCs/>
          <w:sz w:val="22"/>
          <w:szCs w:val="22"/>
          <w:lang w:val="en-US"/>
        </w:rPr>
        <w:t>Flash Eurobarometer 530: Mental health</w:t>
      </w:r>
      <w:r w:rsidRPr="006D7DCA">
        <w:rPr>
          <w:rFonts w:ascii="Times New Roman" w:eastAsia="Calibri" w:hAnsi="Times New Roman" w:cs="Times New Roman"/>
          <w:sz w:val="22"/>
          <w:szCs w:val="22"/>
          <w:lang w:val="en-US"/>
        </w:rPr>
        <w:t xml:space="preserve">. </w:t>
      </w:r>
      <w:proofErr w:type="spellStart"/>
      <w:r w:rsidRPr="006D7DCA">
        <w:rPr>
          <w:rFonts w:ascii="Times New Roman" w:eastAsia="Calibri" w:hAnsi="Times New Roman" w:cs="Times New Roman"/>
          <w:sz w:val="22"/>
          <w:szCs w:val="22"/>
        </w:rPr>
        <w:t>European</w:t>
      </w:r>
      <w:proofErr w:type="spellEnd"/>
      <w:r w:rsidRPr="006D7DCA">
        <w:rPr>
          <w:rFonts w:ascii="Times New Roman" w:eastAsia="Calibri" w:hAnsi="Times New Roman" w:cs="Times New Roman"/>
          <w:sz w:val="22"/>
          <w:szCs w:val="22"/>
        </w:rPr>
        <w:t xml:space="preserve"> </w:t>
      </w:r>
      <w:proofErr w:type="spellStart"/>
      <w:r w:rsidRPr="006D7DCA">
        <w:rPr>
          <w:rFonts w:ascii="Times New Roman" w:eastAsia="Calibri" w:hAnsi="Times New Roman" w:cs="Times New Roman"/>
          <w:sz w:val="22"/>
          <w:szCs w:val="22"/>
        </w:rPr>
        <w:t>Commission</w:t>
      </w:r>
      <w:proofErr w:type="spellEnd"/>
      <w:r w:rsidRPr="006D7DCA">
        <w:rPr>
          <w:rFonts w:ascii="Times New Roman" w:eastAsia="Calibri" w:hAnsi="Times New Roman" w:cs="Times New Roman"/>
          <w:sz w:val="22"/>
          <w:szCs w:val="22"/>
        </w:rPr>
        <w:t xml:space="preserve">. </w:t>
      </w:r>
      <w:hyperlink r:id="rId21" w:history="1">
        <w:r w:rsidRPr="006D7DCA">
          <w:rPr>
            <w:rStyle w:val="Hipervnculo"/>
            <w:rFonts w:ascii="Times New Roman" w:eastAsia="Calibri" w:hAnsi="Times New Roman" w:cs="Times New Roman"/>
            <w:color w:val="auto"/>
            <w:sz w:val="22"/>
            <w:szCs w:val="22"/>
            <w:lang w:val="en-US"/>
          </w:rPr>
          <w:t>https://europa.eu/eurobarometer/surveys/detail/3032</w:t>
        </w:r>
      </w:hyperlink>
    </w:p>
    <w:p w14:paraId="2D0DA8E5"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Farhud, D. (2015). Impact of lifestyle on health. </w:t>
      </w:r>
      <w:r w:rsidRPr="006D7DCA">
        <w:rPr>
          <w:rFonts w:ascii="Times New Roman" w:hAnsi="Times New Roman" w:cs="Times New Roman"/>
          <w:i/>
          <w:iCs/>
          <w:sz w:val="22"/>
          <w:szCs w:val="22"/>
          <w:lang w:val="en-US"/>
        </w:rPr>
        <w:t>Iranian journal of public health</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44</w:t>
      </w:r>
      <w:r w:rsidRPr="006D7DCA">
        <w:rPr>
          <w:rFonts w:ascii="Times New Roman" w:hAnsi="Times New Roman" w:cs="Times New Roman"/>
          <w:sz w:val="22"/>
          <w:szCs w:val="22"/>
          <w:lang w:val="en-US"/>
        </w:rPr>
        <w:t>(11), 1442.</w:t>
      </w:r>
    </w:p>
    <w:p w14:paraId="00152446"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rPr>
        <w:t xml:space="preserve">Fariborz, N., Hadi, J., &amp; Ali, T. N. (2019). </w:t>
      </w:r>
      <w:r w:rsidRPr="006D7DCA">
        <w:rPr>
          <w:rFonts w:ascii="Times New Roman" w:eastAsia="Calibri" w:hAnsi="Times New Roman" w:cs="Times New Roman"/>
          <w:sz w:val="22"/>
          <w:szCs w:val="22"/>
          <w:lang w:val="en-US"/>
        </w:rPr>
        <w:t>Students’ academic stress, stress response and academic burnout: Mediating role of self-efficacy. </w:t>
      </w:r>
      <w:proofErr w:type="spellStart"/>
      <w:r w:rsidRPr="006D7DCA">
        <w:rPr>
          <w:rFonts w:ascii="Times New Roman" w:eastAsia="Calibri" w:hAnsi="Times New Roman" w:cs="Times New Roman"/>
          <w:i/>
          <w:iCs/>
          <w:sz w:val="22"/>
          <w:szCs w:val="22"/>
          <w:lang w:val="en-US"/>
        </w:rPr>
        <w:t>Pertanika</w:t>
      </w:r>
      <w:proofErr w:type="spellEnd"/>
      <w:r w:rsidRPr="006D7DCA">
        <w:rPr>
          <w:rFonts w:ascii="Times New Roman" w:eastAsia="Calibri" w:hAnsi="Times New Roman" w:cs="Times New Roman"/>
          <w:i/>
          <w:iCs/>
          <w:sz w:val="22"/>
          <w:szCs w:val="22"/>
          <w:lang w:val="en-US"/>
        </w:rPr>
        <w:t xml:space="preserve"> Journal of Social Sciences &amp; Humanities</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27</w:t>
      </w:r>
      <w:r w:rsidRPr="006D7DCA">
        <w:rPr>
          <w:rFonts w:ascii="Times New Roman" w:eastAsia="Calibri" w:hAnsi="Times New Roman" w:cs="Times New Roman"/>
          <w:sz w:val="22"/>
          <w:szCs w:val="22"/>
          <w:lang w:val="en-US"/>
        </w:rPr>
        <w:t>(4), 2441-2454.</w:t>
      </w:r>
    </w:p>
    <w:p w14:paraId="461D450E" w14:textId="7A8001FC" w:rsidR="008C46E8" w:rsidRPr="006D7DCA" w:rsidRDefault="008C46E8" w:rsidP="00181A0E">
      <w:pPr>
        <w:spacing w:before="240" w:line="360" w:lineRule="auto"/>
        <w:ind w:left="709" w:hanging="709"/>
        <w:jc w:val="both"/>
        <w:rPr>
          <w:rFonts w:ascii="Times New Roman" w:hAnsi="Times New Roman"/>
          <w:sz w:val="22"/>
          <w:szCs w:val="22"/>
        </w:rPr>
      </w:pPr>
      <w:r w:rsidRPr="006D7DCA">
        <w:rPr>
          <w:rFonts w:ascii="Times New Roman" w:hAnsi="Times New Roman"/>
          <w:sz w:val="22"/>
          <w:szCs w:val="22"/>
        </w:rPr>
        <w:t xml:space="preserve">Ferrari, G., Pires, C., Solé, D., </w:t>
      </w:r>
      <w:proofErr w:type="spellStart"/>
      <w:r w:rsidRPr="006D7DCA">
        <w:rPr>
          <w:rFonts w:ascii="Times New Roman" w:hAnsi="Times New Roman"/>
          <w:sz w:val="22"/>
          <w:szCs w:val="22"/>
        </w:rPr>
        <w:t>Matsudo</w:t>
      </w:r>
      <w:proofErr w:type="spellEnd"/>
      <w:r w:rsidRPr="006D7DCA">
        <w:rPr>
          <w:rFonts w:ascii="Times New Roman" w:hAnsi="Times New Roman"/>
          <w:sz w:val="22"/>
          <w:szCs w:val="22"/>
        </w:rPr>
        <w:t xml:space="preserve">, V., </w:t>
      </w:r>
      <w:proofErr w:type="spellStart"/>
      <w:r w:rsidRPr="006D7DCA">
        <w:rPr>
          <w:rFonts w:ascii="Times New Roman" w:hAnsi="Times New Roman"/>
          <w:sz w:val="22"/>
          <w:szCs w:val="22"/>
        </w:rPr>
        <w:t>Katzmarzyk</w:t>
      </w:r>
      <w:proofErr w:type="spellEnd"/>
      <w:r w:rsidRPr="006D7DCA">
        <w:rPr>
          <w:rFonts w:ascii="Times New Roman" w:hAnsi="Times New Roman"/>
          <w:sz w:val="22"/>
          <w:szCs w:val="22"/>
        </w:rPr>
        <w:t xml:space="preserve">, P. &amp; </w:t>
      </w:r>
      <w:proofErr w:type="spellStart"/>
      <w:r w:rsidRPr="006D7DCA">
        <w:rPr>
          <w:rFonts w:ascii="Times New Roman" w:hAnsi="Times New Roman"/>
          <w:sz w:val="22"/>
          <w:szCs w:val="22"/>
        </w:rPr>
        <w:t>Fisberg</w:t>
      </w:r>
      <w:proofErr w:type="spellEnd"/>
      <w:r w:rsidRPr="006D7DCA">
        <w:rPr>
          <w:rFonts w:ascii="Times New Roman" w:hAnsi="Times New Roman"/>
          <w:sz w:val="22"/>
          <w:szCs w:val="22"/>
        </w:rPr>
        <w:t xml:space="preserve">, M. (2019). </w:t>
      </w:r>
      <w:r w:rsidRPr="006D7DCA">
        <w:rPr>
          <w:rFonts w:ascii="Times New Roman" w:hAnsi="Times New Roman"/>
          <w:sz w:val="22"/>
          <w:szCs w:val="22"/>
          <w:lang w:val="en-US"/>
        </w:rPr>
        <w:t xml:space="preserve">Factors associated with objectively measured total sedentary time and screen time in children aged 9-11 years. </w:t>
      </w:r>
      <w:r w:rsidRPr="006D7DCA">
        <w:rPr>
          <w:rFonts w:ascii="Times New Roman" w:hAnsi="Times New Roman"/>
          <w:sz w:val="22"/>
          <w:szCs w:val="22"/>
        </w:rPr>
        <w:t xml:space="preserve">J Pediatric,95(1), 94-105. </w:t>
      </w:r>
      <w:hyperlink r:id="rId22" w:history="1">
        <w:r w:rsidR="00270952" w:rsidRPr="006D7DCA">
          <w:rPr>
            <w:rStyle w:val="Hipervnculo"/>
            <w:rFonts w:ascii="Times New Roman" w:hAnsi="Times New Roman"/>
            <w:color w:val="auto"/>
            <w:sz w:val="22"/>
            <w:szCs w:val="22"/>
          </w:rPr>
          <w:t>https://doi.org/10.1016/j.jped.2017.12.003</w:t>
        </w:r>
      </w:hyperlink>
    </w:p>
    <w:p w14:paraId="6BEF09B2"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rPr>
        <w:t xml:space="preserve">Fonseca-Pedrero, E., Paino, M., Lemos-Giráldez, S., &amp; Muñiz, J. (2010). Propiedades psicométricas de la </w:t>
      </w:r>
      <w:proofErr w:type="spellStart"/>
      <w:r w:rsidRPr="006D7DCA">
        <w:rPr>
          <w:rFonts w:ascii="Times New Roman" w:hAnsi="Times New Roman" w:cs="Times New Roman"/>
          <w:sz w:val="22"/>
          <w:szCs w:val="22"/>
        </w:rPr>
        <w:t>depression</w:t>
      </w:r>
      <w:proofErr w:type="spellEnd"/>
      <w:r w:rsidRPr="006D7DCA">
        <w:rPr>
          <w:rFonts w:ascii="Times New Roman" w:hAnsi="Times New Roman" w:cs="Times New Roman"/>
          <w:sz w:val="22"/>
          <w:szCs w:val="22"/>
        </w:rPr>
        <w:t xml:space="preserve"> </w:t>
      </w:r>
      <w:proofErr w:type="spellStart"/>
      <w:r w:rsidRPr="006D7DCA">
        <w:rPr>
          <w:rFonts w:ascii="Times New Roman" w:hAnsi="Times New Roman" w:cs="Times New Roman"/>
          <w:sz w:val="22"/>
          <w:szCs w:val="22"/>
        </w:rPr>
        <w:t>anxiety</w:t>
      </w:r>
      <w:proofErr w:type="spellEnd"/>
      <w:r w:rsidRPr="006D7DCA">
        <w:rPr>
          <w:rFonts w:ascii="Times New Roman" w:hAnsi="Times New Roman" w:cs="Times New Roman"/>
          <w:sz w:val="22"/>
          <w:szCs w:val="22"/>
        </w:rPr>
        <w:t xml:space="preserve"> and stress scales-21 (DASS-21) en universitarios </w:t>
      </w:r>
      <w:proofErr w:type="gramStart"/>
      <w:r w:rsidRPr="006D7DCA">
        <w:rPr>
          <w:rFonts w:ascii="Times New Roman" w:hAnsi="Times New Roman" w:cs="Times New Roman"/>
          <w:sz w:val="22"/>
          <w:szCs w:val="22"/>
        </w:rPr>
        <w:t>Españoles</w:t>
      </w:r>
      <w:proofErr w:type="gramEnd"/>
      <w:r w:rsidRPr="006D7DCA">
        <w:rPr>
          <w:rFonts w:ascii="Times New Roman" w:hAnsi="Times New Roman" w:cs="Times New Roman"/>
          <w:sz w:val="22"/>
          <w:szCs w:val="22"/>
        </w:rPr>
        <w:t>. </w:t>
      </w:r>
      <w:r w:rsidRPr="006D7DCA">
        <w:rPr>
          <w:rFonts w:ascii="Times New Roman" w:hAnsi="Times New Roman" w:cs="Times New Roman"/>
          <w:i/>
          <w:iCs/>
          <w:sz w:val="22"/>
          <w:szCs w:val="22"/>
        </w:rPr>
        <w:t>Ansiedad y estrés</w:t>
      </w:r>
      <w:r w:rsidRPr="006D7DCA">
        <w:rPr>
          <w:rFonts w:ascii="Times New Roman" w:hAnsi="Times New Roman" w:cs="Times New Roman"/>
          <w:sz w:val="22"/>
          <w:szCs w:val="22"/>
        </w:rPr>
        <w:t>.</w:t>
      </w:r>
    </w:p>
    <w:p w14:paraId="4C53D073" w14:textId="30A11712" w:rsidR="008C46E8" w:rsidRPr="006D7DCA" w:rsidRDefault="008C46E8" w:rsidP="00181A0E">
      <w:pPr>
        <w:spacing w:before="240" w:line="360" w:lineRule="auto"/>
        <w:ind w:left="709" w:hanging="709"/>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 xml:space="preserve">Gantenbein, K. V., &amp; </w:t>
      </w:r>
      <w:proofErr w:type="spellStart"/>
      <w:r w:rsidRPr="006D7DCA">
        <w:rPr>
          <w:rFonts w:ascii="Times New Roman" w:eastAsia="Calibri" w:hAnsi="Times New Roman" w:cs="Times New Roman"/>
          <w:sz w:val="22"/>
          <w:szCs w:val="22"/>
        </w:rPr>
        <w:t>Kanaka</w:t>
      </w:r>
      <w:proofErr w:type="spellEnd"/>
      <w:r w:rsidRPr="006D7DCA">
        <w:rPr>
          <w:rFonts w:ascii="Times New Roman" w:eastAsia="Calibri" w:hAnsi="Times New Roman" w:cs="Times New Roman"/>
          <w:sz w:val="22"/>
          <w:szCs w:val="22"/>
        </w:rPr>
        <w:t xml:space="preserve">-Gantenbein, C. (2021). </w:t>
      </w:r>
      <w:r w:rsidRPr="006D7DCA">
        <w:rPr>
          <w:rFonts w:ascii="Times New Roman" w:eastAsia="Calibri" w:hAnsi="Times New Roman" w:cs="Times New Roman"/>
          <w:sz w:val="22"/>
          <w:szCs w:val="22"/>
          <w:lang w:val="en-US"/>
        </w:rPr>
        <w:t>Mediterranean diet as an antioxidant: the impact on metabolic health and overall wellbeing. </w:t>
      </w:r>
      <w:proofErr w:type="spellStart"/>
      <w:r w:rsidRPr="006D7DCA">
        <w:rPr>
          <w:rFonts w:ascii="Times New Roman" w:eastAsia="Calibri" w:hAnsi="Times New Roman" w:cs="Times New Roman"/>
          <w:i/>
          <w:iCs/>
          <w:sz w:val="22"/>
          <w:szCs w:val="22"/>
        </w:rPr>
        <w:t>Nutrients</w:t>
      </w:r>
      <w:proofErr w:type="spellEnd"/>
      <w:r w:rsidRPr="006D7DCA">
        <w:rPr>
          <w:rFonts w:ascii="Times New Roman" w:eastAsia="Calibri" w:hAnsi="Times New Roman" w:cs="Times New Roman"/>
          <w:sz w:val="22"/>
          <w:szCs w:val="22"/>
        </w:rPr>
        <w:t>, </w:t>
      </w:r>
      <w:r w:rsidRPr="006D7DCA">
        <w:rPr>
          <w:rFonts w:ascii="Times New Roman" w:eastAsia="Calibri" w:hAnsi="Times New Roman" w:cs="Times New Roman"/>
          <w:i/>
          <w:iCs/>
          <w:sz w:val="22"/>
          <w:szCs w:val="22"/>
        </w:rPr>
        <w:t>13</w:t>
      </w:r>
      <w:r w:rsidRPr="006D7DCA">
        <w:rPr>
          <w:rFonts w:ascii="Times New Roman" w:eastAsia="Calibri" w:hAnsi="Times New Roman" w:cs="Times New Roman"/>
          <w:sz w:val="22"/>
          <w:szCs w:val="22"/>
        </w:rPr>
        <w:t>(6), 1951.</w:t>
      </w:r>
      <w:r w:rsidR="00270952" w:rsidRPr="006D7DCA">
        <w:t xml:space="preserve"> </w:t>
      </w:r>
      <w:hyperlink r:id="rId23" w:history="1">
        <w:r w:rsidR="00270952" w:rsidRPr="006D7DCA">
          <w:rPr>
            <w:rStyle w:val="Hipervnculo"/>
            <w:rFonts w:ascii="Times New Roman" w:eastAsia="Calibri" w:hAnsi="Times New Roman" w:cs="Times New Roman"/>
            <w:color w:val="auto"/>
            <w:sz w:val="22"/>
            <w:szCs w:val="22"/>
          </w:rPr>
          <w:t>https://doi.org/10.3390/nu13061951</w:t>
        </w:r>
      </w:hyperlink>
    </w:p>
    <w:p w14:paraId="46709D13" w14:textId="580D02DA"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rPr>
        <w:t xml:space="preserve">García-Conesa, M. T., Philippou, E., </w:t>
      </w:r>
      <w:proofErr w:type="spellStart"/>
      <w:r w:rsidRPr="006D7DCA">
        <w:rPr>
          <w:rFonts w:ascii="Times New Roman" w:hAnsi="Times New Roman" w:cs="Times New Roman"/>
          <w:sz w:val="22"/>
          <w:szCs w:val="22"/>
        </w:rPr>
        <w:t>Pafilas</w:t>
      </w:r>
      <w:proofErr w:type="spellEnd"/>
      <w:r w:rsidRPr="006D7DCA">
        <w:rPr>
          <w:rFonts w:ascii="Times New Roman" w:hAnsi="Times New Roman" w:cs="Times New Roman"/>
          <w:sz w:val="22"/>
          <w:szCs w:val="22"/>
        </w:rPr>
        <w:t xml:space="preserve">, C., Massaro, M., Quarta, S., Andrade, V., ... &amp; Pinto, P. (2020). </w:t>
      </w:r>
      <w:r w:rsidRPr="006D7DCA">
        <w:rPr>
          <w:rFonts w:ascii="Times New Roman" w:hAnsi="Times New Roman" w:cs="Times New Roman"/>
          <w:sz w:val="22"/>
          <w:szCs w:val="22"/>
          <w:lang w:val="en-US"/>
        </w:rPr>
        <w:t xml:space="preserve">Exploring the validity of the 14-item mediterranean diet adherence screener (Medas): A cross-national study in seven </w:t>
      </w:r>
      <w:proofErr w:type="spellStart"/>
      <w:r w:rsidRPr="006D7DCA">
        <w:rPr>
          <w:rFonts w:ascii="Times New Roman" w:hAnsi="Times New Roman" w:cs="Times New Roman"/>
          <w:sz w:val="22"/>
          <w:szCs w:val="22"/>
          <w:lang w:val="en-US"/>
        </w:rPr>
        <w:t>european</w:t>
      </w:r>
      <w:proofErr w:type="spellEnd"/>
      <w:r w:rsidRPr="006D7DCA">
        <w:rPr>
          <w:rFonts w:ascii="Times New Roman" w:hAnsi="Times New Roman" w:cs="Times New Roman"/>
          <w:sz w:val="22"/>
          <w:szCs w:val="22"/>
          <w:lang w:val="en-US"/>
        </w:rPr>
        <w:t xml:space="preserve"> countries around the mediterranean region. </w:t>
      </w:r>
      <w:proofErr w:type="spellStart"/>
      <w:r w:rsidRPr="006D7DCA">
        <w:rPr>
          <w:rFonts w:ascii="Times New Roman" w:hAnsi="Times New Roman" w:cs="Times New Roman"/>
          <w:i/>
          <w:iCs/>
          <w:sz w:val="22"/>
          <w:szCs w:val="22"/>
        </w:rPr>
        <w:t>Nutrients</w:t>
      </w:r>
      <w:proofErr w:type="spellEnd"/>
      <w:r w:rsidRPr="006D7DCA">
        <w:rPr>
          <w:rFonts w:ascii="Times New Roman" w:hAnsi="Times New Roman" w:cs="Times New Roman"/>
          <w:sz w:val="22"/>
          <w:szCs w:val="22"/>
        </w:rPr>
        <w:t>, </w:t>
      </w:r>
      <w:r w:rsidRPr="006D7DCA">
        <w:rPr>
          <w:rFonts w:ascii="Times New Roman" w:hAnsi="Times New Roman" w:cs="Times New Roman"/>
          <w:i/>
          <w:iCs/>
          <w:sz w:val="22"/>
          <w:szCs w:val="22"/>
        </w:rPr>
        <w:t>12</w:t>
      </w:r>
      <w:r w:rsidRPr="006D7DCA">
        <w:rPr>
          <w:rFonts w:ascii="Times New Roman" w:hAnsi="Times New Roman" w:cs="Times New Roman"/>
          <w:sz w:val="22"/>
          <w:szCs w:val="22"/>
        </w:rPr>
        <w:t>(10), 2960.</w:t>
      </w:r>
      <w:r w:rsidR="00270952" w:rsidRPr="006D7DCA">
        <w:t xml:space="preserve"> </w:t>
      </w:r>
      <w:hyperlink r:id="rId24" w:history="1">
        <w:r w:rsidR="00270952" w:rsidRPr="006D7DCA">
          <w:rPr>
            <w:rStyle w:val="Hipervnculo"/>
            <w:rFonts w:ascii="Times New Roman" w:hAnsi="Times New Roman" w:cs="Times New Roman"/>
            <w:color w:val="auto"/>
            <w:sz w:val="22"/>
            <w:szCs w:val="22"/>
          </w:rPr>
          <w:t>https://doi.org/10.3390/nu12102960</w:t>
        </w:r>
      </w:hyperlink>
    </w:p>
    <w:p w14:paraId="6946BED0"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rPr>
        <w:t xml:space="preserve">García-Martínez, I., Landa, J. M. A., &amp; León, S. P. (2021). </w:t>
      </w:r>
      <w:r w:rsidRPr="006D7DCA">
        <w:rPr>
          <w:rFonts w:ascii="Times New Roman" w:eastAsia="Calibri" w:hAnsi="Times New Roman" w:cs="Times New Roman"/>
          <w:sz w:val="22"/>
          <w:szCs w:val="22"/>
          <w:lang w:val="en-US"/>
        </w:rPr>
        <w:t xml:space="preserve">The Mediating Role of Engagement on the Achievement and Quality of Life of University Students. </w:t>
      </w:r>
      <w:r w:rsidRPr="006D7DCA">
        <w:rPr>
          <w:rFonts w:ascii="Times New Roman" w:eastAsia="Calibri" w:hAnsi="Times New Roman" w:cs="Times New Roman"/>
          <w:i/>
          <w:iCs/>
          <w:sz w:val="22"/>
          <w:szCs w:val="22"/>
          <w:lang w:val="en-US"/>
        </w:rPr>
        <w:t>International journal of environmental research and public health, 18</w:t>
      </w:r>
      <w:r w:rsidRPr="006D7DCA">
        <w:rPr>
          <w:rFonts w:ascii="Times New Roman" w:eastAsia="Calibri" w:hAnsi="Times New Roman" w:cs="Times New Roman"/>
          <w:sz w:val="22"/>
          <w:szCs w:val="22"/>
          <w:lang w:val="en-US"/>
        </w:rPr>
        <w:t xml:space="preserve">(12), 6586. </w:t>
      </w:r>
      <w:hyperlink r:id="rId25" w:history="1">
        <w:r w:rsidRPr="006D7DCA">
          <w:rPr>
            <w:rFonts w:ascii="Times New Roman" w:eastAsia="Calibri" w:hAnsi="Times New Roman" w:cs="Times New Roman"/>
            <w:sz w:val="22"/>
            <w:szCs w:val="22"/>
            <w:u w:val="single"/>
            <w:lang w:val="en-US"/>
          </w:rPr>
          <w:t>https://doi.org/10.3390/ijerph18126586</w:t>
        </w:r>
      </w:hyperlink>
    </w:p>
    <w:p w14:paraId="5A131464"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rPr>
        <w:t>García-Ros, R., Pérez-González, F., Pérez-Blasco, J., &amp; Natividad, L. A. (2012). Evaluación del estrés académico en estudiantes de nueva incorporación a la universidad. </w:t>
      </w:r>
      <w:r w:rsidRPr="006D7DCA">
        <w:rPr>
          <w:rFonts w:ascii="Times New Roman" w:hAnsi="Times New Roman" w:cs="Times New Roman"/>
          <w:i/>
          <w:iCs/>
          <w:sz w:val="22"/>
          <w:szCs w:val="22"/>
        </w:rPr>
        <w:t>Revista latinoamericana de psicología</w:t>
      </w:r>
      <w:r w:rsidRPr="006D7DCA">
        <w:rPr>
          <w:rFonts w:ascii="Times New Roman" w:hAnsi="Times New Roman" w:cs="Times New Roman"/>
          <w:sz w:val="22"/>
          <w:szCs w:val="22"/>
        </w:rPr>
        <w:t>, </w:t>
      </w:r>
      <w:r w:rsidRPr="006D7DCA">
        <w:rPr>
          <w:rFonts w:ascii="Times New Roman" w:hAnsi="Times New Roman" w:cs="Times New Roman"/>
          <w:i/>
          <w:iCs/>
          <w:sz w:val="22"/>
          <w:szCs w:val="22"/>
        </w:rPr>
        <w:t>44</w:t>
      </w:r>
      <w:r w:rsidRPr="006D7DCA">
        <w:rPr>
          <w:rFonts w:ascii="Times New Roman" w:hAnsi="Times New Roman" w:cs="Times New Roman"/>
          <w:sz w:val="22"/>
          <w:szCs w:val="22"/>
        </w:rPr>
        <w:t>(2), 143-154.</w:t>
      </w:r>
    </w:p>
    <w:p w14:paraId="29023093" w14:textId="6EF25A42" w:rsidR="008C46E8" w:rsidRPr="006D7DCA" w:rsidRDefault="008C46E8" w:rsidP="00181A0E">
      <w:pPr>
        <w:spacing w:before="240" w:line="360" w:lineRule="auto"/>
        <w:ind w:left="709" w:hanging="709"/>
        <w:jc w:val="both"/>
        <w:rPr>
          <w:rFonts w:ascii="Times New Roman" w:eastAsia="Calibri" w:hAnsi="Times New Roman" w:cs="Times New Roman"/>
          <w:sz w:val="22"/>
          <w:szCs w:val="22"/>
          <w:lang w:val="en-US"/>
        </w:rPr>
      </w:pPr>
      <w:r w:rsidRPr="006D7DCA">
        <w:rPr>
          <w:rFonts w:ascii="Times New Roman" w:eastAsia="Calibri" w:hAnsi="Times New Roman" w:cs="Times New Roman"/>
          <w:sz w:val="22"/>
          <w:szCs w:val="22"/>
          <w:lang w:val="en-US"/>
        </w:rPr>
        <w:t xml:space="preserve">Ghrouz, A. K., </w:t>
      </w:r>
      <w:proofErr w:type="spellStart"/>
      <w:r w:rsidRPr="006D7DCA">
        <w:rPr>
          <w:rFonts w:ascii="Times New Roman" w:eastAsia="Calibri" w:hAnsi="Times New Roman" w:cs="Times New Roman"/>
          <w:sz w:val="22"/>
          <w:szCs w:val="22"/>
          <w:lang w:val="en-US"/>
        </w:rPr>
        <w:t>Noohu</w:t>
      </w:r>
      <w:proofErr w:type="spellEnd"/>
      <w:r w:rsidRPr="006D7DCA">
        <w:rPr>
          <w:rFonts w:ascii="Times New Roman" w:eastAsia="Calibri" w:hAnsi="Times New Roman" w:cs="Times New Roman"/>
          <w:sz w:val="22"/>
          <w:szCs w:val="22"/>
          <w:lang w:val="en-US"/>
        </w:rPr>
        <w:t xml:space="preserve">, M. M., Dilshad Manzar, M., Warren Spence, D., </w:t>
      </w:r>
      <w:proofErr w:type="spellStart"/>
      <w:r w:rsidRPr="006D7DCA">
        <w:rPr>
          <w:rFonts w:ascii="Times New Roman" w:eastAsia="Calibri" w:hAnsi="Times New Roman" w:cs="Times New Roman"/>
          <w:sz w:val="22"/>
          <w:szCs w:val="22"/>
          <w:lang w:val="en-US"/>
        </w:rPr>
        <w:t>BaHammam</w:t>
      </w:r>
      <w:proofErr w:type="spellEnd"/>
      <w:r w:rsidRPr="006D7DCA">
        <w:rPr>
          <w:rFonts w:ascii="Times New Roman" w:eastAsia="Calibri" w:hAnsi="Times New Roman" w:cs="Times New Roman"/>
          <w:sz w:val="22"/>
          <w:szCs w:val="22"/>
          <w:lang w:val="en-US"/>
        </w:rPr>
        <w:t>, A. S., &amp; Pandi-Perumal, S. R. (2019). Physical activity and sleep quality in relation to mental health among college students. </w:t>
      </w:r>
      <w:r w:rsidRPr="006D7DCA">
        <w:rPr>
          <w:rFonts w:ascii="Times New Roman" w:eastAsia="Calibri" w:hAnsi="Times New Roman" w:cs="Times New Roman"/>
          <w:i/>
          <w:iCs/>
          <w:sz w:val="22"/>
          <w:szCs w:val="22"/>
          <w:lang w:val="en-US"/>
        </w:rPr>
        <w:t>Sleep and Breathing</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23</w:t>
      </w:r>
      <w:r w:rsidRPr="006D7DCA">
        <w:rPr>
          <w:rFonts w:ascii="Times New Roman" w:eastAsia="Calibri" w:hAnsi="Times New Roman" w:cs="Times New Roman"/>
          <w:sz w:val="22"/>
          <w:szCs w:val="22"/>
          <w:lang w:val="en-US"/>
        </w:rPr>
        <w:t>, 627-634.</w:t>
      </w:r>
      <w:r w:rsidR="00270952" w:rsidRPr="006D7DCA">
        <w:t xml:space="preserve"> </w:t>
      </w:r>
      <w:hyperlink r:id="rId26" w:history="1">
        <w:r w:rsidR="00270952" w:rsidRPr="006D7DCA">
          <w:rPr>
            <w:rStyle w:val="Hipervnculo"/>
            <w:rFonts w:ascii="Times New Roman" w:eastAsia="Calibri" w:hAnsi="Times New Roman" w:cs="Times New Roman"/>
            <w:color w:val="auto"/>
            <w:sz w:val="22"/>
            <w:szCs w:val="22"/>
            <w:lang w:val="en-US"/>
          </w:rPr>
          <w:t>https://doi.org/10.1007/s11325-019-01780-z</w:t>
        </w:r>
      </w:hyperlink>
    </w:p>
    <w:p w14:paraId="1CD9EC82" w14:textId="77777777" w:rsidR="00270952" w:rsidRPr="006D7DCA" w:rsidRDefault="008C46E8" w:rsidP="00270952">
      <w:pPr>
        <w:spacing w:before="240" w:line="360" w:lineRule="auto"/>
        <w:ind w:left="709" w:hanging="709"/>
        <w:jc w:val="both"/>
        <w:rPr>
          <w:rFonts w:ascii="Times New Roman" w:eastAsia="Calibri" w:hAnsi="Times New Roman" w:cs="Times New Roman"/>
          <w:sz w:val="22"/>
          <w:szCs w:val="22"/>
          <w:lang w:val="en-US"/>
        </w:rPr>
      </w:pPr>
      <w:r w:rsidRPr="006D7DCA">
        <w:rPr>
          <w:rFonts w:ascii="Times New Roman" w:eastAsia="Calibri" w:hAnsi="Times New Roman" w:cs="Times New Roman"/>
          <w:sz w:val="22"/>
          <w:szCs w:val="22"/>
          <w:lang w:val="en-US"/>
        </w:rPr>
        <w:t xml:space="preserve">González-Ramírez, J., Mulqueen, K., Zealand, R., Silverstein, S., Mulqueen, C., &amp; </w:t>
      </w:r>
      <w:proofErr w:type="spellStart"/>
      <w:r w:rsidRPr="006D7DCA">
        <w:rPr>
          <w:rFonts w:ascii="Times New Roman" w:eastAsia="Calibri" w:hAnsi="Times New Roman" w:cs="Times New Roman"/>
          <w:sz w:val="22"/>
          <w:szCs w:val="22"/>
          <w:lang w:val="en-US"/>
        </w:rPr>
        <w:t>BuShell</w:t>
      </w:r>
      <w:proofErr w:type="spellEnd"/>
      <w:r w:rsidRPr="006D7DCA">
        <w:rPr>
          <w:rFonts w:ascii="Times New Roman" w:eastAsia="Calibri" w:hAnsi="Times New Roman" w:cs="Times New Roman"/>
          <w:sz w:val="22"/>
          <w:szCs w:val="22"/>
          <w:lang w:val="en-US"/>
        </w:rPr>
        <w:t>, S. (2021). Emergency online learning: college students' perceptions during the COVID-19 pandemic. </w:t>
      </w:r>
      <w:r w:rsidRPr="006D7DCA">
        <w:rPr>
          <w:rFonts w:ascii="Times New Roman" w:eastAsia="Calibri" w:hAnsi="Times New Roman" w:cs="Times New Roman"/>
          <w:i/>
          <w:iCs/>
          <w:sz w:val="22"/>
          <w:szCs w:val="22"/>
          <w:lang w:val="en-US"/>
        </w:rPr>
        <w:t>College Student Journal</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55</w:t>
      </w:r>
      <w:r w:rsidRPr="006D7DCA">
        <w:rPr>
          <w:rFonts w:ascii="Times New Roman" w:eastAsia="Calibri" w:hAnsi="Times New Roman" w:cs="Times New Roman"/>
          <w:sz w:val="22"/>
          <w:szCs w:val="22"/>
          <w:lang w:val="en-US"/>
        </w:rPr>
        <w:t>(1), 29-46.</w:t>
      </w:r>
      <w:r w:rsidR="00270952" w:rsidRPr="006D7DCA">
        <w:t xml:space="preserve"> </w:t>
      </w:r>
      <w:hyperlink r:id="rId27" w:history="1">
        <w:r w:rsidR="00270952" w:rsidRPr="006D7DCA">
          <w:rPr>
            <w:rStyle w:val="Hipervnculo"/>
            <w:rFonts w:ascii="Times New Roman" w:eastAsia="Calibri" w:hAnsi="Times New Roman" w:cs="Times New Roman"/>
            <w:color w:val="auto"/>
            <w:sz w:val="22"/>
            <w:szCs w:val="22"/>
            <w:lang w:val="en-US"/>
          </w:rPr>
          <w:t>http://dx.doi.org/10.2139/ssrn.3831526</w:t>
        </w:r>
      </w:hyperlink>
    </w:p>
    <w:p w14:paraId="3F1F84F2" w14:textId="7F1117D7" w:rsidR="008C46E8" w:rsidRPr="006D7DCA" w:rsidRDefault="008C46E8" w:rsidP="00270952">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Guasch‐Ferré, M., &amp; Willett, W. C. (2021). The Mediterranean diet and health: A comprehensive overview. </w:t>
      </w:r>
      <w:r w:rsidRPr="006D7DCA">
        <w:rPr>
          <w:rFonts w:ascii="Times New Roman" w:hAnsi="Times New Roman" w:cs="Times New Roman"/>
          <w:i/>
          <w:iCs/>
          <w:sz w:val="22"/>
          <w:szCs w:val="22"/>
          <w:lang w:val="en-US"/>
        </w:rPr>
        <w:t>Journal of internal medicine</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290</w:t>
      </w:r>
      <w:r w:rsidRPr="006D7DCA">
        <w:rPr>
          <w:rFonts w:ascii="Times New Roman" w:hAnsi="Times New Roman" w:cs="Times New Roman"/>
          <w:sz w:val="22"/>
          <w:szCs w:val="22"/>
          <w:lang w:val="en-US"/>
        </w:rPr>
        <w:t>(3), 549-566.</w:t>
      </w:r>
      <w:r w:rsidR="00270952" w:rsidRPr="006D7DCA">
        <w:t xml:space="preserve"> </w:t>
      </w:r>
      <w:hyperlink r:id="rId28" w:history="1">
        <w:r w:rsidR="00270952" w:rsidRPr="006D7DCA">
          <w:rPr>
            <w:rStyle w:val="Hipervnculo"/>
            <w:rFonts w:ascii="Times New Roman" w:hAnsi="Times New Roman" w:cs="Times New Roman"/>
            <w:color w:val="auto"/>
            <w:sz w:val="22"/>
            <w:szCs w:val="22"/>
            <w:lang w:val="en-US"/>
          </w:rPr>
          <w:t>https://doi.org/10.1111/joim.13333</w:t>
        </w:r>
      </w:hyperlink>
    </w:p>
    <w:p w14:paraId="373C0311"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 xml:space="preserve">Hale L., </w:t>
      </w:r>
      <w:proofErr w:type="spellStart"/>
      <w:r w:rsidRPr="006D7DCA">
        <w:rPr>
          <w:rFonts w:ascii="Times New Roman" w:hAnsi="Times New Roman" w:cs="Times New Roman"/>
          <w:sz w:val="22"/>
          <w:szCs w:val="22"/>
          <w:lang w:val="en-US"/>
        </w:rPr>
        <w:t>Kirschen</w:t>
      </w:r>
      <w:proofErr w:type="spellEnd"/>
      <w:r w:rsidRPr="006D7DCA">
        <w:rPr>
          <w:rFonts w:ascii="Times New Roman" w:hAnsi="Times New Roman" w:cs="Times New Roman"/>
          <w:sz w:val="22"/>
          <w:szCs w:val="22"/>
          <w:lang w:val="en-US"/>
        </w:rPr>
        <w:t xml:space="preserve"> G.W., LeBourgeois M.K., </w:t>
      </w:r>
      <w:proofErr w:type="spellStart"/>
      <w:r w:rsidRPr="006D7DCA">
        <w:rPr>
          <w:rFonts w:ascii="Times New Roman" w:hAnsi="Times New Roman" w:cs="Times New Roman"/>
          <w:sz w:val="22"/>
          <w:szCs w:val="22"/>
          <w:lang w:val="en-US"/>
        </w:rPr>
        <w:t>Gradisar</w:t>
      </w:r>
      <w:proofErr w:type="spellEnd"/>
      <w:r w:rsidRPr="006D7DCA">
        <w:rPr>
          <w:rFonts w:ascii="Times New Roman" w:hAnsi="Times New Roman" w:cs="Times New Roman"/>
          <w:sz w:val="22"/>
          <w:szCs w:val="22"/>
          <w:lang w:val="en-US"/>
        </w:rPr>
        <w:t xml:space="preserve"> M., Garrison M.M., Montgomery-Downs H., … &amp; Buxton, O.M. (2018). Youth Screen Media Habits and Sleep: Sleep-Friendly Screen Behavior Recommendations for Clinicians, Educators, and Parents. </w:t>
      </w:r>
      <w:r w:rsidRPr="006D7DCA">
        <w:rPr>
          <w:rFonts w:ascii="Times New Roman" w:hAnsi="Times New Roman" w:cs="Times New Roman"/>
          <w:i/>
          <w:iCs/>
          <w:sz w:val="22"/>
          <w:szCs w:val="22"/>
          <w:lang w:val="en-US"/>
        </w:rPr>
        <w:t xml:space="preserve">Child </w:t>
      </w:r>
      <w:proofErr w:type="spellStart"/>
      <w:r w:rsidRPr="006D7DCA">
        <w:rPr>
          <w:rFonts w:ascii="Times New Roman" w:hAnsi="Times New Roman" w:cs="Times New Roman"/>
          <w:i/>
          <w:iCs/>
          <w:sz w:val="22"/>
          <w:szCs w:val="22"/>
          <w:lang w:val="en-US"/>
        </w:rPr>
        <w:t>Adolesc</w:t>
      </w:r>
      <w:proofErr w:type="spellEnd"/>
      <w:r w:rsidRPr="006D7DCA">
        <w:rPr>
          <w:rFonts w:ascii="Times New Roman" w:hAnsi="Times New Roman" w:cs="Times New Roman"/>
          <w:i/>
          <w:iCs/>
          <w:sz w:val="22"/>
          <w:szCs w:val="22"/>
          <w:lang w:val="en-US"/>
        </w:rPr>
        <w:t xml:space="preserve"> </w:t>
      </w:r>
      <w:proofErr w:type="spellStart"/>
      <w:r w:rsidRPr="006D7DCA">
        <w:rPr>
          <w:rFonts w:ascii="Times New Roman" w:hAnsi="Times New Roman" w:cs="Times New Roman"/>
          <w:i/>
          <w:iCs/>
          <w:sz w:val="22"/>
          <w:szCs w:val="22"/>
          <w:lang w:val="en-US"/>
        </w:rPr>
        <w:t>Psychiatr</w:t>
      </w:r>
      <w:proofErr w:type="spellEnd"/>
      <w:r w:rsidRPr="006D7DCA">
        <w:rPr>
          <w:rFonts w:ascii="Times New Roman" w:hAnsi="Times New Roman" w:cs="Times New Roman"/>
          <w:i/>
          <w:iCs/>
          <w:sz w:val="22"/>
          <w:szCs w:val="22"/>
          <w:lang w:val="en-US"/>
        </w:rPr>
        <w:t xml:space="preserve"> Clin N Am, 27</w:t>
      </w:r>
      <w:r w:rsidRPr="006D7DCA">
        <w:rPr>
          <w:rFonts w:ascii="Times New Roman" w:hAnsi="Times New Roman" w:cs="Times New Roman"/>
          <w:sz w:val="22"/>
          <w:szCs w:val="22"/>
          <w:lang w:val="en-US"/>
        </w:rPr>
        <w:t xml:space="preserve">(2), 229–245. https://doi.org/10.1016/j.chc.2017.11.014 </w:t>
      </w:r>
    </w:p>
    <w:p w14:paraId="144E8423" w14:textId="36861BFC" w:rsidR="008C46E8" w:rsidRPr="006D7DCA" w:rsidRDefault="008C46E8" w:rsidP="00181A0E">
      <w:pPr>
        <w:spacing w:before="240" w:line="360" w:lineRule="auto"/>
        <w:ind w:left="709" w:hanging="709"/>
        <w:jc w:val="both"/>
        <w:rPr>
          <w:rFonts w:ascii="Times New Roman" w:hAnsi="Times New Roman" w:cs="Times New Roman"/>
          <w:sz w:val="22"/>
          <w:szCs w:val="22"/>
          <w:lang w:val="en-GB"/>
        </w:rPr>
      </w:pPr>
      <w:r w:rsidRPr="006D7DCA">
        <w:rPr>
          <w:rFonts w:ascii="Times New Roman" w:hAnsi="Times New Roman" w:cs="Times New Roman"/>
          <w:sz w:val="22"/>
          <w:szCs w:val="22"/>
          <w:lang w:val="en-US"/>
        </w:rPr>
        <w:t xml:space="preserve">Hensley, A., Hampton, D., Wilson, J. L., Culp-Roche, A. &amp; Wiggins, A. T. (2021). A </w:t>
      </w:r>
      <w:proofErr w:type="spellStart"/>
      <w:r w:rsidRPr="006D7DCA">
        <w:rPr>
          <w:rFonts w:ascii="Times New Roman" w:hAnsi="Times New Roman" w:cs="Times New Roman"/>
          <w:sz w:val="22"/>
          <w:szCs w:val="22"/>
          <w:lang w:val="en-US"/>
        </w:rPr>
        <w:t>mul-ticenter</w:t>
      </w:r>
      <w:proofErr w:type="spellEnd"/>
      <w:r w:rsidRPr="006D7DCA">
        <w:rPr>
          <w:rFonts w:ascii="Times New Roman" w:hAnsi="Times New Roman" w:cs="Times New Roman"/>
          <w:sz w:val="22"/>
          <w:szCs w:val="22"/>
          <w:lang w:val="en-US"/>
        </w:rPr>
        <w:t xml:space="preserve"> study of student engagement and satisfaction in online programs. </w:t>
      </w:r>
      <w:r w:rsidRPr="006D7DCA">
        <w:rPr>
          <w:rFonts w:ascii="Times New Roman" w:hAnsi="Times New Roman" w:cs="Times New Roman"/>
          <w:i/>
          <w:iCs/>
          <w:sz w:val="22"/>
          <w:szCs w:val="22"/>
          <w:lang w:val="en-US"/>
        </w:rPr>
        <w:t>Journal of Nursing Education</w:t>
      </w:r>
      <w:r w:rsidRPr="006D7DCA">
        <w:rPr>
          <w:rFonts w:ascii="Times New Roman" w:hAnsi="Times New Roman" w:cs="Times New Roman"/>
          <w:sz w:val="22"/>
          <w:szCs w:val="22"/>
          <w:lang w:val="en-US"/>
        </w:rPr>
        <w:t>, 60(5), 259-264.</w:t>
      </w:r>
      <w:r w:rsidR="00270952" w:rsidRPr="006D7DCA">
        <w:t xml:space="preserve"> </w:t>
      </w:r>
      <w:hyperlink r:id="rId29" w:history="1">
        <w:r w:rsidR="00270952" w:rsidRPr="006D7DCA">
          <w:rPr>
            <w:rStyle w:val="Hipervnculo"/>
            <w:rFonts w:ascii="Times New Roman" w:hAnsi="Times New Roman" w:cs="Times New Roman"/>
            <w:color w:val="auto"/>
            <w:sz w:val="22"/>
            <w:szCs w:val="22"/>
          </w:rPr>
          <w:t>https://doi.org/10.3928/01484834-20210420-04</w:t>
        </w:r>
      </w:hyperlink>
    </w:p>
    <w:p w14:paraId="232FE7D7" w14:textId="0482DC36" w:rsidR="008C46E8" w:rsidRPr="006D7DCA" w:rsidRDefault="008C46E8" w:rsidP="00181A0E">
      <w:pPr>
        <w:spacing w:before="240" w:line="360" w:lineRule="auto"/>
        <w:ind w:left="709" w:hanging="709"/>
        <w:jc w:val="both"/>
        <w:rPr>
          <w:rFonts w:ascii="Times New Roman" w:hAnsi="Times New Roman" w:cs="Times New Roman"/>
          <w:sz w:val="22"/>
          <w:szCs w:val="22"/>
          <w:lang w:val="en-GB"/>
        </w:rPr>
      </w:pPr>
      <w:r w:rsidRPr="006D7DCA">
        <w:rPr>
          <w:rFonts w:ascii="Times New Roman" w:eastAsia="Calibri" w:hAnsi="Times New Roman" w:cs="Times New Roman"/>
          <w:sz w:val="22"/>
          <w:szCs w:val="22"/>
          <w:lang w:val="en-US"/>
        </w:rPr>
        <w:t>Herbert, C., Meixner, F., Wiebking, C., &amp; Gilg, V. (2020). Regular physical activity, short-term exercise, mental health, and well-being among university students: the results of an online and a laboratory study. </w:t>
      </w:r>
      <w:r w:rsidRPr="006D7DCA">
        <w:rPr>
          <w:rFonts w:ascii="Times New Roman" w:eastAsia="Calibri" w:hAnsi="Times New Roman" w:cs="Times New Roman"/>
          <w:i/>
          <w:iCs/>
          <w:sz w:val="22"/>
          <w:szCs w:val="22"/>
          <w:lang w:val="en-US"/>
        </w:rPr>
        <w:t>Frontiers in psychology</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11</w:t>
      </w:r>
      <w:r w:rsidRPr="006D7DCA">
        <w:rPr>
          <w:rFonts w:ascii="Times New Roman" w:eastAsia="Calibri" w:hAnsi="Times New Roman" w:cs="Times New Roman"/>
          <w:sz w:val="22"/>
          <w:szCs w:val="22"/>
          <w:lang w:val="en-US"/>
        </w:rPr>
        <w:t>, 509.</w:t>
      </w:r>
      <w:r w:rsidR="00270952" w:rsidRPr="006D7DCA">
        <w:t xml:space="preserve"> </w:t>
      </w:r>
      <w:hyperlink r:id="rId30" w:history="1">
        <w:r w:rsidR="00270952" w:rsidRPr="006D7DCA">
          <w:rPr>
            <w:rStyle w:val="Hipervnculo"/>
            <w:rFonts w:ascii="Times New Roman" w:eastAsia="Calibri" w:hAnsi="Times New Roman" w:cs="Times New Roman"/>
            <w:color w:val="auto"/>
            <w:sz w:val="22"/>
            <w:szCs w:val="22"/>
          </w:rPr>
          <w:t>https://doi.org/10.3389/fpsyg.2020.00509</w:t>
        </w:r>
      </w:hyperlink>
    </w:p>
    <w:p w14:paraId="7FDDF4A0" w14:textId="77777777" w:rsidR="008C46E8" w:rsidRPr="006D7DCA" w:rsidRDefault="008C46E8" w:rsidP="00181A0E">
      <w:pPr>
        <w:spacing w:before="240" w:line="360" w:lineRule="auto"/>
        <w:ind w:left="709" w:hanging="709"/>
        <w:jc w:val="both"/>
        <w:rPr>
          <w:rStyle w:val="Hipervnculo"/>
          <w:rFonts w:ascii="Times New Roman" w:hAnsi="Times New Roman" w:cs="Times New Roman"/>
          <w:color w:val="auto"/>
          <w:sz w:val="22"/>
          <w:szCs w:val="22"/>
          <w:lang w:val="en-US"/>
        </w:rPr>
      </w:pPr>
      <w:r w:rsidRPr="006D7DCA">
        <w:rPr>
          <w:rFonts w:ascii="Times New Roman" w:hAnsi="Times New Roman" w:cs="Times New Roman"/>
          <w:sz w:val="22"/>
          <w:szCs w:val="22"/>
          <w:lang w:val="en-GB"/>
        </w:rPr>
        <w:t xml:space="preserve">Hirshkowitz, K., Whiton, K., Albert, S., Alessi, C., Bruni, O. DonCarlos, L., ... &amp; Ware, J.C. (2015). National Sleep Foundation’s updated sleep duration recommendations: final report. </w:t>
      </w:r>
      <w:r w:rsidRPr="006D7DCA">
        <w:rPr>
          <w:rFonts w:ascii="Times New Roman" w:hAnsi="Times New Roman" w:cs="Times New Roman"/>
          <w:i/>
          <w:iCs/>
          <w:sz w:val="22"/>
          <w:szCs w:val="22"/>
          <w:lang w:val="en-GB"/>
        </w:rPr>
        <w:t>Sleep Health</w:t>
      </w:r>
      <w:r w:rsidRPr="006D7DCA">
        <w:rPr>
          <w:rFonts w:ascii="Times New Roman" w:hAnsi="Times New Roman" w:cs="Times New Roman"/>
          <w:sz w:val="22"/>
          <w:szCs w:val="22"/>
          <w:lang w:val="en-GB"/>
        </w:rPr>
        <w:t xml:space="preserve">, </w:t>
      </w:r>
      <w:r w:rsidRPr="006D7DCA">
        <w:rPr>
          <w:rFonts w:ascii="Times New Roman" w:hAnsi="Times New Roman" w:cs="Times New Roman"/>
          <w:i/>
          <w:iCs/>
          <w:sz w:val="22"/>
          <w:szCs w:val="22"/>
          <w:lang w:val="en-GB"/>
        </w:rPr>
        <w:t>1</w:t>
      </w:r>
      <w:r w:rsidRPr="006D7DCA">
        <w:rPr>
          <w:rFonts w:ascii="Times New Roman" w:hAnsi="Times New Roman" w:cs="Times New Roman"/>
          <w:sz w:val="22"/>
          <w:szCs w:val="22"/>
          <w:lang w:val="en-GB"/>
        </w:rPr>
        <w:t xml:space="preserve">(4), 233-243. </w:t>
      </w:r>
      <w:hyperlink r:id="rId31" w:tgtFrame="_blank" w:tooltip="Persistent link using digital object identifier" w:history="1">
        <w:r w:rsidRPr="006D7DCA">
          <w:rPr>
            <w:rStyle w:val="Hipervnculo"/>
            <w:rFonts w:ascii="Times New Roman" w:hAnsi="Times New Roman" w:cs="Times New Roman"/>
            <w:color w:val="auto"/>
            <w:sz w:val="22"/>
            <w:szCs w:val="22"/>
            <w:lang w:val="en-GB"/>
          </w:rPr>
          <w:t>https://doi.org/10.1016/j.sleh.2015.10.004</w:t>
        </w:r>
      </w:hyperlink>
    </w:p>
    <w:p w14:paraId="00FE8FF2" w14:textId="2BADC94A" w:rsidR="008C46E8" w:rsidRPr="006D7DCA" w:rsidRDefault="008C46E8" w:rsidP="00181A0E">
      <w:pPr>
        <w:spacing w:before="240" w:line="360" w:lineRule="auto"/>
        <w:ind w:left="709" w:hanging="709"/>
        <w:jc w:val="both"/>
        <w:rPr>
          <w:rFonts w:ascii="Times New Roman" w:hAnsi="Times New Roman" w:cs="Times New Roman"/>
          <w:sz w:val="22"/>
          <w:szCs w:val="22"/>
          <w:u w:val="single"/>
          <w:lang w:val="en-US"/>
        </w:rPr>
      </w:pPr>
      <w:r w:rsidRPr="006D7DCA">
        <w:rPr>
          <w:rFonts w:ascii="Times New Roman" w:eastAsia="Calibri" w:hAnsi="Times New Roman" w:cs="Times New Roman"/>
          <w:sz w:val="22"/>
          <w:szCs w:val="22"/>
          <w:lang w:val="en-US"/>
        </w:rPr>
        <w:t>Ishizawa, M., Uchiumi, T., Takahata, M., Yamaki, M., &amp; Sato, T. (2021). Effects of pre-bedtime blue-light exposure on ratio of deep sleep in healthy young men. </w:t>
      </w:r>
      <w:r w:rsidRPr="006D7DCA">
        <w:rPr>
          <w:rFonts w:ascii="Times New Roman" w:eastAsia="Calibri" w:hAnsi="Times New Roman" w:cs="Times New Roman"/>
          <w:i/>
          <w:iCs/>
          <w:sz w:val="22"/>
          <w:szCs w:val="22"/>
          <w:lang w:val="en-US"/>
        </w:rPr>
        <w:t>Sleep medicine</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84</w:t>
      </w:r>
      <w:r w:rsidRPr="006D7DCA">
        <w:rPr>
          <w:rFonts w:ascii="Times New Roman" w:eastAsia="Calibri" w:hAnsi="Times New Roman" w:cs="Times New Roman"/>
          <w:sz w:val="22"/>
          <w:szCs w:val="22"/>
          <w:lang w:val="en-US"/>
        </w:rPr>
        <w:t>, 303-307.</w:t>
      </w:r>
      <w:r w:rsidR="00270952" w:rsidRPr="006D7DCA">
        <w:t xml:space="preserve"> </w:t>
      </w:r>
      <w:hyperlink r:id="rId32" w:tgtFrame="_blank" w:tooltip="Persistent link using digital object identifier" w:history="1">
        <w:r w:rsidR="00270952" w:rsidRPr="006D7DCA">
          <w:rPr>
            <w:rStyle w:val="Hipervnculo"/>
            <w:rFonts w:ascii="Times New Roman" w:eastAsia="Calibri" w:hAnsi="Times New Roman" w:cs="Times New Roman"/>
            <w:color w:val="auto"/>
            <w:sz w:val="22"/>
            <w:szCs w:val="22"/>
          </w:rPr>
          <w:t>https://doi.org/10.1016/j.sleep.2021.05.046</w:t>
        </w:r>
      </w:hyperlink>
    </w:p>
    <w:p w14:paraId="40E4E718" w14:textId="23ABD226" w:rsidR="008C46E8" w:rsidRPr="006D7DCA" w:rsidRDefault="008C46E8" w:rsidP="00181A0E">
      <w:pPr>
        <w:spacing w:before="240" w:line="360" w:lineRule="auto"/>
        <w:ind w:left="709" w:hanging="709"/>
        <w:jc w:val="both"/>
        <w:rPr>
          <w:rFonts w:ascii="Times New Roman" w:hAnsi="Times New Roman" w:cs="Times New Roman"/>
          <w:sz w:val="22"/>
          <w:szCs w:val="22"/>
          <w:u w:val="single"/>
          <w:lang w:val="en-US"/>
        </w:rPr>
      </w:pPr>
      <w:r w:rsidRPr="006D7DCA">
        <w:rPr>
          <w:rFonts w:ascii="Times New Roman" w:eastAsia="Calibri" w:hAnsi="Times New Roman" w:cs="Times New Roman"/>
          <w:sz w:val="22"/>
          <w:szCs w:val="22"/>
          <w:lang w:val="en-US"/>
        </w:rPr>
        <w:t>Jacques, A., Chaaya, N., Beecher, K., Ali, S. A., Belmer, A., &amp; Bartlett, S. (2019). The impact of sugar consumption on stress driven, emotional and addictive behaviors. </w:t>
      </w:r>
      <w:r w:rsidRPr="006D7DCA">
        <w:rPr>
          <w:rFonts w:ascii="Times New Roman" w:eastAsia="Calibri" w:hAnsi="Times New Roman" w:cs="Times New Roman"/>
          <w:i/>
          <w:iCs/>
          <w:sz w:val="22"/>
          <w:szCs w:val="22"/>
          <w:lang w:val="en-US"/>
        </w:rPr>
        <w:t>Neuroscience &amp; Biobehavioral Reviews</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103</w:t>
      </w:r>
      <w:r w:rsidRPr="006D7DCA">
        <w:rPr>
          <w:rFonts w:ascii="Times New Roman" w:eastAsia="Calibri" w:hAnsi="Times New Roman" w:cs="Times New Roman"/>
          <w:sz w:val="22"/>
          <w:szCs w:val="22"/>
          <w:lang w:val="en-US"/>
        </w:rPr>
        <w:t>, 178-199.</w:t>
      </w:r>
      <w:r w:rsidR="00270952" w:rsidRPr="006D7DCA">
        <w:t xml:space="preserve"> </w:t>
      </w:r>
      <w:hyperlink r:id="rId33" w:tgtFrame="_blank" w:tooltip="Persistent link using digital object identifier" w:history="1">
        <w:r w:rsidR="00270952" w:rsidRPr="006D7DCA">
          <w:rPr>
            <w:rStyle w:val="Hipervnculo"/>
            <w:rFonts w:ascii="Times New Roman" w:eastAsia="Calibri" w:hAnsi="Times New Roman" w:cs="Times New Roman"/>
            <w:color w:val="auto"/>
            <w:sz w:val="22"/>
            <w:szCs w:val="22"/>
          </w:rPr>
          <w:t>https://doi.org/10.1016/j.neubiorev.2019.05.021</w:t>
        </w:r>
      </w:hyperlink>
    </w:p>
    <w:p w14:paraId="288255B1" w14:textId="6A391B64" w:rsidR="008C46E8" w:rsidRPr="006D7DCA" w:rsidRDefault="008C46E8" w:rsidP="00181A0E">
      <w:pPr>
        <w:spacing w:before="240" w:line="360" w:lineRule="auto"/>
        <w:ind w:left="709" w:hanging="709"/>
        <w:jc w:val="both"/>
        <w:rPr>
          <w:rFonts w:ascii="Times New Roman" w:hAnsi="Times New Roman" w:cs="Times New Roman"/>
          <w:sz w:val="22"/>
          <w:szCs w:val="22"/>
          <w:u w:val="single"/>
          <w:lang w:val="en-US"/>
        </w:rPr>
      </w:pPr>
      <w:proofErr w:type="spellStart"/>
      <w:r w:rsidRPr="006D7DCA">
        <w:rPr>
          <w:rFonts w:ascii="Times New Roman" w:eastAsia="Calibri" w:hAnsi="Times New Roman" w:cs="Times New Roman"/>
          <w:sz w:val="22"/>
          <w:szCs w:val="22"/>
        </w:rPr>
        <w:t>Jehi</w:t>
      </w:r>
      <w:proofErr w:type="spellEnd"/>
      <w:r w:rsidRPr="006D7DCA">
        <w:rPr>
          <w:rFonts w:ascii="Times New Roman" w:eastAsia="Calibri" w:hAnsi="Times New Roman" w:cs="Times New Roman"/>
          <w:sz w:val="22"/>
          <w:szCs w:val="22"/>
        </w:rPr>
        <w:t xml:space="preserve">, T., Khan, R., Halawani, R., &amp; Dos Santos, H. (2023). </w:t>
      </w:r>
      <w:r w:rsidRPr="006D7DCA">
        <w:rPr>
          <w:rFonts w:ascii="Times New Roman" w:eastAsia="Calibri" w:hAnsi="Times New Roman" w:cs="Times New Roman"/>
          <w:sz w:val="22"/>
          <w:szCs w:val="22"/>
          <w:lang w:val="en-US"/>
        </w:rPr>
        <w:t>Effect of COVID-19 outbreak on the diet, body weight and food security status of students of higher education: A systematic review. </w:t>
      </w:r>
      <w:r w:rsidRPr="006D7DCA">
        <w:rPr>
          <w:rFonts w:ascii="Times New Roman" w:eastAsia="Calibri" w:hAnsi="Times New Roman" w:cs="Times New Roman"/>
          <w:i/>
          <w:iCs/>
          <w:sz w:val="22"/>
          <w:szCs w:val="22"/>
          <w:lang w:val="en-US"/>
        </w:rPr>
        <w:t>British Journal of Nutrition</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129</w:t>
      </w:r>
      <w:r w:rsidRPr="006D7DCA">
        <w:rPr>
          <w:rFonts w:ascii="Times New Roman" w:eastAsia="Calibri" w:hAnsi="Times New Roman" w:cs="Times New Roman"/>
          <w:sz w:val="22"/>
          <w:szCs w:val="22"/>
          <w:lang w:val="en-US"/>
        </w:rPr>
        <w:t>(11), 1916-1928.</w:t>
      </w:r>
      <w:r w:rsidR="00270952" w:rsidRPr="006D7DCA">
        <w:t xml:space="preserve"> </w:t>
      </w:r>
      <w:hyperlink r:id="rId34" w:tgtFrame="_blank" w:history="1">
        <w:r w:rsidR="00270952" w:rsidRPr="006D7DCA">
          <w:rPr>
            <w:rStyle w:val="Hipervnculo"/>
            <w:rFonts w:ascii="Times New Roman" w:eastAsia="Calibri" w:hAnsi="Times New Roman" w:cs="Times New Roman"/>
            <w:color w:val="auto"/>
            <w:sz w:val="22"/>
            <w:szCs w:val="22"/>
          </w:rPr>
          <w:t>https://doi.org/10.1017/S0007114522002604</w:t>
        </w:r>
      </w:hyperlink>
    </w:p>
    <w:p w14:paraId="2B1E41AA" w14:textId="2332E9D7" w:rsidR="008C46E8" w:rsidRPr="006D7DCA" w:rsidRDefault="008C46E8" w:rsidP="00181A0E">
      <w:pPr>
        <w:spacing w:before="240" w:line="360" w:lineRule="auto"/>
        <w:ind w:left="709" w:hanging="709"/>
        <w:jc w:val="both"/>
        <w:rPr>
          <w:rFonts w:ascii="Times New Roman" w:hAnsi="Times New Roman" w:cs="Times New Roman"/>
          <w:sz w:val="22"/>
          <w:szCs w:val="22"/>
        </w:rPr>
      </w:pPr>
      <w:bookmarkStart w:id="5" w:name="_Hlk184839917"/>
      <w:r w:rsidRPr="006D7DCA">
        <w:rPr>
          <w:rFonts w:ascii="Times New Roman" w:hAnsi="Times New Roman" w:cs="Times New Roman"/>
          <w:sz w:val="22"/>
          <w:szCs w:val="22"/>
          <w:lang w:val="en-US"/>
        </w:rPr>
        <w:t xml:space="preserve">Jochmann, </w:t>
      </w:r>
      <w:bookmarkEnd w:id="5"/>
      <w:r w:rsidRPr="006D7DCA">
        <w:rPr>
          <w:rFonts w:ascii="Times New Roman" w:hAnsi="Times New Roman" w:cs="Times New Roman"/>
          <w:sz w:val="22"/>
          <w:szCs w:val="22"/>
          <w:lang w:val="en-US"/>
        </w:rPr>
        <w:t xml:space="preserve">A., </w:t>
      </w:r>
      <w:proofErr w:type="spellStart"/>
      <w:r w:rsidRPr="006D7DCA">
        <w:rPr>
          <w:rFonts w:ascii="Times New Roman" w:hAnsi="Times New Roman" w:cs="Times New Roman"/>
          <w:sz w:val="22"/>
          <w:szCs w:val="22"/>
          <w:lang w:val="en-US"/>
        </w:rPr>
        <w:t>Gusy</w:t>
      </w:r>
      <w:proofErr w:type="spellEnd"/>
      <w:r w:rsidRPr="006D7DCA">
        <w:rPr>
          <w:rFonts w:ascii="Times New Roman" w:hAnsi="Times New Roman" w:cs="Times New Roman"/>
          <w:sz w:val="22"/>
          <w:szCs w:val="22"/>
          <w:lang w:val="en-US"/>
        </w:rPr>
        <w:t xml:space="preserve">, B., </w:t>
      </w:r>
      <w:proofErr w:type="spellStart"/>
      <w:r w:rsidRPr="006D7DCA">
        <w:rPr>
          <w:rFonts w:ascii="Times New Roman" w:hAnsi="Times New Roman" w:cs="Times New Roman"/>
          <w:sz w:val="22"/>
          <w:szCs w:val="22"/>
          <w:lang w:val="en-US"/>
        </w:rPr>
        <w:t>Lesener</w:t>
      </w:r>
      <w:proofErr w:type="spellEnd"/>
      <w:r w:rsidRPr="006D7DCA">
        <w:rPr>
          <w:rFonts w:ascii="Times New Roman" w:hAnsi="Times New Roman" w:cs="Times New Roman"/>
          <w:sz w:val="22"/>
          <w:szCs w:val="22"/>
          <w:lang w:val="en-US"/>
        </w:rPr>
        <w:t>, T., &amp; Wolter, C. (2024). Procrastination, depression and anxiety symptoms in university students: a three-wave longitudinal study on the mediating role of perceived stress. </w:t>
      </w:r>
      <w:r w:rsidRPr="006D7DCA">
        <w:rPr>
          <w:rFonts w:ascii="Times New Roman" w:hAnsi="Times New Roman" w:cs="Times New Roman"/>
          <w:i/>
          <w:iCs/>
          <w:sz w:val="22"/>
          <w:szCs w:val="22"/>
          <w:lang w:val="en-US"/>
        </w:rPr>
        <w:t>BMC psychology</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12</w:t>
      </w:r>
      <w:r w:rsidRPr="006D7DCA">
        <w:rPr>
          <w:rFonts w:ascii="Times New Roman" w:hAnsi="Times New Roman" w:cs="Times New Roman"/>
          <w:sz w:val="22"/>
          <w:szCs w:val="22"/>
          <w:lang w:val="en-US"/>
        </w:rPr>
        <w:t>(1), 276.</w:t>
      </w:r>
      <w:r w:rsidR="00270952" w:rsidRPr="006D7DCA">
        <w:rPr>
          <w:rFonts w:ascii="Merriweather Sans" w:hAnsi="Merriweather Sans"/>
          <w:shd w:val="clear" w:color="auto" w:fill="FFFFFF"/>
        </w:rPr>
        <w:t xml:space="preserve"> </w:t>
      </w:r>
      <w:hyperlink r:id="rId35" w:history="1">
        <w:r w:rsidR="00270952" w:rsidRPr="006D7DCA">
          <w:rPr>
            <w:rStyle w:val="Hipervnculo"/>
            <w:rFonts w:ascii="Times New Roman" w:hAnsi="Times New Roman" w:cs="Times New Roman"/>
            <w:color w:val="auto"/>
            <w:sz w:val="22"/>
            <w:szCs w:val="22"/>
          </w:rPr>
          <w:t>https://doi.org/10.1186/s40359-024-01761-2</w:t>
        </w:r>
      </w:hyperlink>
    </w:p>
    <w:p w14:paraId="42C9F2D8" w14:textId="77777777" w:rsidR="008C46E8" w:rsidRPr="006D7DCA" w:rsidRDefault="008C46E8" w:rsidP="00181A0E">
      <w:pPr>
        <w:spacing w:before="240" w:line="360" w:lineRule="auto"/>
        <w:ind w:left="709" w:hanging="709"/>
        <w:jc w:val="both"/>
        <w:rPr>
          <w:rFonts w:ascii="Times New Roman" w:hAnsi="Times New Roman" w:cs="Times New Roman"/>
          <w:sz w:val="22"/>
          <w:szCs w:val="22"/>
          <w:u w:val="single"/>
          <w:lang w:val="en-US"/>
        </w:rPr>
      </w:pPr>
      <w:r w:rsidRPr="006D7DCA">
        <w:rPr>
          <w:rFonts w:ascii="Times New Roman" w:eastAsia="Calibri" w:hAnsi="Times New Roman" w:cs="Times New Roman"/>
          <w:sz w:val="22"/>
          <w:szCs w:val="22"/>
          <w:lang w:val="en-US"/>
        </w:rPr>
        <w:t xml:space="preserve">Johansson, F., Rozental, A., Edlund, K., Côté, P., Sundberg, T., Onell, C., Rudman, A., &amp; </w:t>
      </w:r>
      <w:proofErr w:type="spellStart"/>
      <w:r w:rsidRPr="006D7DCA">
        <w:rPr>
          <w:rFonts w:ascii="Times New Roman" w:eastAsia="Calibri" w:hAnsi="Times New Roman" w:cs="Times New Roman"/>
          <w:sz w:val="22"/>
          <w:szCs w:val="22"/>
          <w:lang w:val="en-US"/>
        </w:rPr>
        <w:t>Skillgate</w:t>
      </w:r>
      <w:proofErr w:type="spellEnd"/>
      <w:r w:rsidRPr="006D7DCA">
        <w:rPr>
          <w:rFonts w:ascii="Times New Roman" w:eastAsia="Calibri" w:hAnsi="Times New Roman" w:cs="Times New Roman"/>
          <w:sz w:val="22"/>
          <w:szCs w:val="22"/>
          <w:lang w:val="en-US"/>
        </w:rPr>
        <w:t xml:space="preserve">, E. (2023). Associations Between Procrastination and Subsequent Health Outcomes Among University Students in Sweden. </w:t>
      </w:r>
      <w:r w:rsidRPr="006D7DCA">
        <w:rPr>
          <w:rFonts w:ascii="Times New Roman" w:eastAsia="Calibri" w:hAnsi="Times New Roman" w:cs="Times New Roman"/>
          <w:i/>
          <w:iCs/>
          <w:sz w:val="22"/>
          <w:szCs w:val="22"/>
          <w:lang w:val="en-US"/>
        </w:rPr>
        <w:t>JAMA network open, 6</w:t>
      </w:r>
      <w:r w:rsidRPr="006D7DCA">
        <w:rPr>
          <w:rFonts w:ascii="Times New Roman" w:eastAsia="Calibri" w:hAnsi="Times New Roman" w:cs="Times New Roman"/>
          <w:sz w:val="22"/>
          <w:szCs w:val="22"/>
          <w:lang w:val="en-US"/>
        </w:rPr>
        <w:t xml:space="preserve">(1), e2249346. </w:t>
      </w:r>
      <w:hyperlink r:id="rId36" w:history="1">
        <w:r w:rsidRPr="006D7DCA">
          <w:rPr>
            <w:rFonts w:ascii="Times New Roman" w:eastAsia="Calibri" w:hAnsi="Times New Roman" w:cs="Times New Roman"/>
            <w:sz w:val="22"/>
            <w:szCs w:val="22"/>
            <w:u w:val="single"/>
            <w:lang w:val="en-US"/>
          </w:rPr>
          <w:t>https://doi.org/10.1001/jamanetworkopen.2022.49346</w:t>
        </w:r>
      </w:hyperlink>
      <w:r w:rsidRPr="006D7DCA">
        <w:rPr>
          <w:rFonts w:ascii="Times New Roman" w:eastAsia="Calibri" w:hAnsi="Times New Roman" w:cs="Times New Roman"/>
          <w:sz w:val="22"/>
          <w:szCs w:val="22"/>
          <w:lang w:val="en-US"/>
        </w:rPr>
        <w:t xml:space="preserve"> </w:t>
      </w:r>
    </w:p>
    <w:p w14:paraId="58762B5F" w14:textId="3BAB0CC8" w:rsidR="008C46E8" w:rsidRPr="006D7DCA" w:rsidRDefault="008C46E8" w:rsidP="00181A0E">
      <w:pPr>
        <w:spacing w:before="240" w:line="360" w:lineRule="auto"/>
        <w:ind w:left="709" w:hanging="709"/>
        <w:jc w:val="both"/>
        <w:rPr>
          <w:rFonts w:ascii="Times New Roman" w:hAnsi="Times New Roman" w:cs="Times New Roman"/>
          <w:sz w:val="22"/>
          <w:szCs w:val="22"/>
          <w:u w:val="single"/>
          <w:lang w:val="en-US"/>
        </w:rPr>
      </w:pPr>
      <w:r w:rsidRPr="006D7DCA">
        <w:rPr>
          <w:rFonts w:ascii="Times New Roman" w:eastAsia="Calibri" w:hAnsi="Times New Roman" w:cs="Times New Roman"/>
          <w:sz w:val="22"/>
          <w:szCs w:val="22"/>
          <w:lang w:val="en-US"/>
        </w:rPr>
        <w:t>Johnson, E. O., Roth, T., &amp; Breslau, N. (2006). The association of insomnia with anxiety disorders and depression: exploration of the direction of risk. </w:t>
      </w:r>
      <w:r w:rsidRPr="006D7DCA">
        <w:rPr>
          <w:rFonts w:ascii="Times New Roman" w:eastAsia="Calibri" w:hAnsi="Times New Roman" w:cs="Times New Roman"/>
          <w:i/>
          <w:iCs/>
          <w:sz w:val="22"/>
          <w:szCs w:val="22"/>
          <w:lang w:val="en-US"/>
        </w:rPr>
        <w:t>Journal of psychiatric research</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40</w:t>
      </w:r>
      <w:r w:rsidRPr="006D7DCA">
        <w:rPr>
          <w:rFonts w:ascii="Times New Roman" w:eastAsia="Calibri" w:hAnsi="Times New Roman" w:cs="Times New Roman"/>
          <w:sz w:val="22"/>
          <w:szCs w:val="22"/>
          <w:lang w:val="en-US"/>
        </w:rPr>
        <w:t>(8), 700-708.</w:t>
      </w:r>
      <w:r w:rsidR="00270952" w:rsidRPr="006D7DCA">
        <w:t xml:space="preserve"> </w:t>
      </w:r>
      <w:hyperlink r:id="rId37" w:tgtFrame="_blank" w:tooltip="Persistent link using digital object identifier" w:history="1">
        <w:r w:rsidR="00270952" w:rsidRPr="006D7DCA">
          <w:rPr>
            <w:rStyle w:val="Hipervnculo"/>
            <w:rFonts w:ascii="Times New Roman" w:eastAsia="Calibri" w:hAnsi="Times New Roman" w:cs="Times New Roman"/>
            <w:color w:val="auto"/>
            <w:sz w:val="22"/>
            <w:szCs w:val="22"/>
          </w:rPr>
          <w:t>https://doi.org/10.1016/j.jpsychires.2006.07.008</w:t>
        </w:r>
      </w:hyperlink>
    </w:p>
    <w:p w14:paraId="486AD2B9" w14:textId="5287C0F1"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lang w:val="en-US"/>
        </w:rPr>
        <w:t xml:space="preserve">Khouja, J. N., </w:t>
      </w:r>
      <w:proofErr w:type="spellStart"/>
      <w:r w:rsidRPr="006D7DCA">
        <w:rPr>
          <w:rFonts w:ascii="Times New Roman" w:eastAsia="Calibri" w:hAnsi="Times New Roman" w:cs="Times New Roman"/>
          <w:sz w:val="22"/>
          <w:szCs w:val="22"/>
          <w:lang w:val="en-US"/>
        </w:rPr>
        <w:t>Munafò</w:t>
      </w:r>
      <w:proofErr w:type="spellEnd"/>
      <w:r w:rsidRPr="006D7DCA">
        <w:rPr>
          <w:rFonts w:ascii="Times New Roman" w:eastAsia="Calibri" w:hAnsi="Times New Roman" w:cs="Times New Roman"/>
          <w:sz w:val="22"/>
          <w:szCs w:val="22"/>
          <w:lang w:val="en-US"/>
        </w:rPr>
        <w:t xml:space="preserve">, M. R., Tilling, K., Wiles, N. J., </w:t>
      </w:r>
      <w:proofErr w:type="spellStart"/>
      <w:r w:rsidRPr="006D7DCA">
        <w:rPr>
          <w:rFonts w:ascii="Times New Roman" w:eastAsia="Calibri" w:hAnsi="Times New Roman" w:cs="Times New Roman"/>
          <w:sz w:val="22"/>
          <w:szCs w:val="22"/>
          <w:lang w:val="en-US"/>
        </w:rPr>
        <w:t>Joinson</w:t>
      </w:r>
      <w:proofErr w:type="spellEnd"/>
      <w:r w:rsidRPr="006D7DCA">
        <w:rPr>
          <w:rFonts w:ascii="Times New Roman" w:eastAsia="Calibri" w:hAnsi="Times New Roman" w:cs="Times New Roman"/>
          <w:sz w:val="22"/>
          <w:szCs w:val="22"/>
          <w:lang w:val="en-US"/>
        </w:rPr>
        <w:t>, C., Etchells, P. J., ... &amp; Cornish, R. P. (2019). Is screen time associated with anxiety or depression in young people? Results from a UK birth cohort. </w:t>
      </w:r>
      <w:r w:rsidRPr="006D7DCA">
        <w:rPr>
          <w:rFonts w:ascii="Times New Roman" w:eastAsia="Calibri" w:hAnsi="Times New Roman" w:cs="Times New Roman"/>
          <w:i/>
          <w:iCs/>
          <w:sz w:val="22"/>
          <w:szCs w:val="22"/>
          <w:lang w:val="en-US"/>
        </w:rPr>
        <w:t>BMC public health</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19</w:t>
      </w:r>
      <w:r w:rsidRPr="006D7DCA">
        <w:rPr>
          <w:rFonts w:ascii="Times New Roman" w:eastAsia="Calibri" w:hAnsi="Times New Roman" w:cs="Times New Roman"/>
          <w:sz w:val="22"/>
          <w:szCs w:val="22"/>
          <w:lang w:val="en-US"/>
        </w:rPr>
        <w:t>, 1-11.</w:t>
      </w:r>
      <w:r w:rsidR="00270952" w:rsidRPr="006D7DCA">
        <w:rPr>
          <w:rFonts w:ascii="Merriweather Sans" w:hAnsi="Merriweather Sans"/>
          <w:shd w:val="clear" w:color="auto" w:fill="FFFFFF"/>
        </w:rPr>
        <w:t xml:space="preserve"> </w:t>
      </w:r>
      <w:r w:rsidR="00270952" w:rsidRPr="006D7DCA">
        <w:rPr>
          <w:rFonts w:ascii="Times New Roman" w:eastAsia="Calibri" w:hAnsi="Times New Roman" w:cs="Times New Roman"/>
          <w:sz w:val="22"/>
          <w:szCs w:val="22"/>
        </w:rPr>
        <w:t>https://doi.org/10.1186/s12889-018-6321-9</w:t>
      </w:r>
    </w:p>
    <w:p w14:paraId="4522DCAC" w14:textId="2B90C341" w:rsidR="008C46E8" w:rsidRPr="006D7DCA" w:rsidRDefault="008C46E8" w:rsidP="00181A0E">
      <w:pPr>
        <w:spacing w:before="240" w:line="360" w:lineRule="auto"/>
        <w:ind w:left="709" w:hanging="709"/>
        <w:jc w:val="both"/>
        <w:rPr>
          <w:rFonts w:ascii="Times New Roman" w:hAnsi="Times New Roman" w:cs="Times New Roman"/>
          <w:sz w:val="22"/>
          <w:szCs w:val="22"/>
        </w:rPr>
      </w:pPr>
      <w:proofErr w:type="spellStart"/>
      <w:r w:rsidRPr="006D7DCA">
        <w:rPr>
          <w:rFonts w:ascii="Times New Roman" w:eastAsia="Calibri" w:hAnsi="Times New Roman" w:cs="Times New Roman"/>
          <w:sz w:val="22"/>
          <w:szCs w:val="22"/>
          <w:lang w:val="en-US"/>
        </w:rPr>
        <w:t>Koutsimani</w:t>
      </w:r>
      <w:proofErr w:type="spellEnd"/>
      <w:r w:rsidRPr="006D7DCA">
        <w:rPr>
          <w:rFonts w:ascii="Times New Roman" w:eastAsia="Calibri" w:hAnsi="Times New Roman" w:cs="Times New Roman"/>
          <w:sz w:val="22"/>
          <w:szCs w:val="22"/>
          <w:lang w:val="en-US"/>
        </w:rPr>
        <w:t xml:space="preserve">, P., Montgomery, A., &amp; </w:t>
      </w:r>
      <w:proofErr w:type="spellStart"/>
      <w:r w:rsidRPr="006D7DCA">
        <w:rPr>
          <w:rFonts w:ascii="Times New Roman" w:eastAsia="Calibri" w:hAnsi="Times New Roman" w:cs="Times New Roman"/>
          <w:sz w:val="22"/>
          <w:szCs w:val="22"/>
          <w:lang w:val="en-US"/>
        </w:rPr>
        <w:t>Georganta</w:t>
      </w:r>
      <w:proofErr w:type="spellEnd"/>
      <w:r w:rsidRPr="006D7DCA">
        <w:rPr>
          <w:rFonts w:ascii="Times New Roman" w:eastAsia="Calibri" w:hAnsi="Times New Roman" w:cs="Times New Roman"/>
          <w:sz w:val="22"/>
          <w:szCs w:val="22"/>
          <w:lang w:val="en-US"/>
        </w:rPr>
        <w:t>, K. (2019). The relationship between burnout, depression, and anxiety: A systematic review and meta-analysis. </w:t>
      </w:r>
      <w:proofErr w:type="spellStart"/>
      <w:r w:rsidRPr="006D7DCA">
        <w:rPr>
          <w:rFonts w:ascii="Times New Roman" w:eastAsia="Calibri" w:hAnsi="Times New Roman" w:cs="Times New Roman"/>
          <w:i/>
          <w:iCs/>
          <w:sz w:val="22"/>
          <w:szCs w:val="22"/>
        </w:rPr>
        <w:t>Frontiers</w:t>
      </w:r>
      <w:proofErr w:type="spellEnd"/>
      <w:r w:rsidRPr="006D7DCA">
        <w:rPr>
          <w:rFonts w:ascii="Times New Roman" w:eastAsia="Calibri" w:hAnsi="Times New Roman" w:cs="Times New Roman"/>
          <w:i/>
          <w:iCs/>
          <w:sz w:val="22"/>
          <w:szCs w:val="22"/>
        </w:rPr>
        <w:t xml:space="preserve"> in </w:t>
      </w:r>
      <w:proofErr w:type="spellStart"/>
      <w:r w:rsidRPr="006D7DCA">
        <w:rPr>
          <w:rFonts w:ascii="Times New Roman" w:eastAsia="Calibri" w:hAnsi="Times New Roman" w:cs="Times New Roman"/>
          <w:i/>
          <w:iCs/>
          <w:sz w:val="22"/>
          <w:szCs w:val="22"/>
        </w:rPr>
        <w:t>psychology</w:t>
      </w:r>
      <w:proofErr w:type="spellEnd"/>
      <w:r w:rsidRPr="006D7DCA">
        <w:rPr>
          <w:rFonts w:ascii="Times New Roman" w:eastAsia="Calibri" w:hAnsi="Times New Roman" w:cs="Times New Roman"/>
          <w:sz w:val="22"/>
          <w:szCs w:val="22"/>
        </w:rPr>
        <w:t>, </w:t>
      </w:r>
      <w:r w:rsidRPr="006D7DCA">
        <w:rPr>
          <w:rFonts w:ascii="Times New Roman" w:eastAsia="Calibri" w:hAnsi="Times New Roman" w:cs="Times New Roman"/>
          <w:i/>
          <w:iCs/>
          <w:sz w:val="22"/>
          <w:szCs w:val="22"/>
        </w:rPr>
        <w:t>10</w:t>
      </w:r>
      <w:r w:rsidRPr="006D7DCA">
        <w:rPr>
          <w:rFonts w:ascii="Times New Roman" w:eastAsia="Calibri" w:hAnsi="Times New Roman" w:cs="Times New Roman"/>
          <w:sz w:val="22"/>
          <w:szCs w:val="22"/>
        </w:rPr>
        <w:t>, 284.</w:t>
      </w:r>
      <w:r w:rsidR="00270952" w:rsidRPr="006D7DCA">
        <w:t xml:space="preserve"> </w:t>
      </w:r>
      <w:hyperlink r:id="rId38" w:history="1">
        <w:r w:rsidR="00270952" w:rsidRPr="006D7DCA">
          <w:rPr>
            <w:rStyle w:val="Hipervnculo"/>
            <w:rFonts w:ascii="Times New Roman" w:eastAsia="Calibri" w:hAnsi="Times New Roman" w:cs="Times New Roman"/>
            <w:color w:val="auto"/>
            <w:sz w:val="22"/>
            <w:szCs w:val="22"/>
          </w:rPr>
          <w:t>https://doi.org/10.3389/fpsyg.2019.00284</w:t>
        </w:r>
      </w:hyperlink>
    </w:p>
    <w:p w14:paraId="657887AD"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rPr>
        <w:t xml:space="preserve">Leonangeli, S., Michelini, Y. &amp; Rivarola, G. (2024). Depresión, Ansiedad y Estrés en estudiantes universitarios antes y durante los primeros tres meses de cuarentena por COVID-19. </w:t>
      </w:r>
      <w:r w:rsidRPr="006D7DCA">
        <w:rPr>
          <w:rFonts w:ascii="Times New Roman" w:hAnsi="Times New Roman" w:cs="Times New Roman"/>
          <w:i/>
          <w:iCs/>
          <w:sz w:val="22"/>
          <w:szCs w:val="22"/>
        </w:rPr>
        <w:t>Revista Colombiana de Psiquiatría</w:t>
      </w:r>
      <w:r w:rsidRPr="006D7DCA">
        <w:rPr>
          <w:rFonts w:ascii="Times New Roman" w:hAnsi="Times New Roman" w:cs="Times New Roman"/>
          <w:sz w:val="22"/>
          <w:szCs w:val="22"/>
        </w:rPr>
        <w:t>,</w:t>
      </w:r>
      <w:r w:rsidRPr="006D7DCA">
        <w:rPr>
          <w:rFonts w:ascii="Times New Roman" w:hAnsi="Times New Roman" w:cs="Times New Roman"/>
          <w:i/>
          <w:iCs/>
          <w:sz w:val="22"/>
          <w:szCs w:val="22"/>
        </w:rPr>
        <w:t xml:space="preserve"> 53</w:t>
      </w:r>
      <w:r w:rsidRPr="006D7DCA">
        <w:rPr>
          <w:rFonts w:ascii="Times New Roman" w:hAnsi="Times New Roman" w:cs="Times New Roman"/>
          <w:sz w:val="22"/>
          <w:szCs w:val="22"/>
        </w:rPr>
        <w:t xml:space="preserve">(3), 284-294. </w:t>
      </w:r>
      <w:hyperlink r:id="rId39" w:tgtFrame="_blank" w:tooltip="Persistent link using digital object identifier" w:history="1">
        <w:r w:rsidRPr="006D7DCA">
          <w:rPr>
            <w:rStyle w:val="Hipervnculo"/>
            <w:rFonts w:ascii="Times New Roman" w:hAnsi="Times New Roman" w:cs="Times New Roman"/>
            <w:color w:val="auto"/>
            <w:sz w:val="22"/>
            <w:szCs w:val="22"/>
          </w:rPr>
          <w:t>https://doi.org/10.1016/j.rcp.2022.04.008</w:t>
        </w:r>
      </w:hyperlink>
    </w:p>
    <w:p w14:paraId="5BF9E5D7"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lang w:val="en-US"/>
        </w:rPr>
        <w:t xml:space="preserve">Li, W., Zhao, Z., Chen, D., Peng, Y., &amp; Lu, Z. (2022). Prevalence and associated factors of depression and anxiety symptoms among college students: a systematic review and meta-analysis. </w:t>
      </w:r>
      <w:r w:rsidRPr="006D7DCA">
        <w:rPr>
          <w:rFonts w:ascii="Times New Roman" w:eastAsia="Calibri" w:hAnsi="Times New Roman" w:cs="Times New Roman"/>
          <w:i/>
          <w:iCs/>
          <w:sz w:val="22"/>
          <w:szCs w:val="22"/>
          <w:lang w:val="en-US"/>
        </w:rPr>
        <w:t>Journal of child psychology and psychiatry, and allied disciplines, 63</w:t>
      </w:r>
      <w:r w:rsidRPr="006D7DCA">
        <w:rPr>
          <w:rFonts w:ascii="Times New Roman" w:eastAsia="Calibri" w:hAnsi="Times New Roman" w:cs="Times New Roman"/>
          <w:sz w:val="22"/>
          <w:szCs w:val="22"/>
          <w:lang w:val="en-US"/>
        </w:rPr>
        <w:t xml:space="preserve">(11), 1222–1230. </w:t>
      </w:r>
      <w:hyperlink r:id="rId40" w:history="1">
        <w:r w:rsidRPr="006D7DCA">
          <w:rPr>
            <w:rFonts w:ascii="Times New Roman" w:eastAsia="Calibri" w:hAnsi="Times New Roman" w:cs="Times New Roman"/>
            <w:sz w:val="22"/>
            <w:szCs w:val="22"/>
            <w:u w:val="single"/>
            <w:lang w:val="en-US"/>
          </w:rPr>
          <w:t>https://doi.org/10.1111/jcpp.13606</w:t>
        </w:r>
      </w:hyperlink>
    </w:p>
    <w:p w14:paraId="1CF35BD3" w14:textId="332472EC"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lang w:val="en-US"/>
        </w:rPr>
        <w:t>Liu, Z., Xie, Y., Sun, Z., Liu, D., Yin, H., &amp; Shi, L. (2023). Factors associated with academic burnout and its prevalence among university students: a cross-sectional study. </w:t>
      </w:r>
      <w:r w:rsidRPr="006D7DCA">
        <w:rPr>
          <w:rFonts w:ascii="Times New Roman" w:eastAsia="Calibri" w:hAnsi="Times New Roman" w:cs="Times New Roman"/>
          <w:i/>
          <w:iCs/>
          <w:sz w:val="22"/>
          <w:szCs w:val="22"/>
          <w:lang w:val="en-US"/>
        </w:rPr>
        <w:t>BMC Medical Education</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23</w:t>
      </w:r>
      <w:r w:rsidRPr="006D7DCA">
        <w:rPr>
          <w:rFonts w:ascii="Times New Roman" w:eastAsia="Calibri" w:hAnsi="Times New Roman" w:cs="Times New Roman"/>
          <w:sz w:val="22"/>
          <w:szCs w:val="22"/>
          <w:lang w:val="en-US"/>
        </w:rPr>
        <w:t>(1), 317.</w:t>
      </w:r>
      <w:r w:rsidR="00270952" w:rsidRPr="006D7DCA">
        <w:rPr>
          <w:rFonts w:ascii="Merriweather Sans" w:hAnsi="Merriweather Sans"/>
          <w:shd w:val="clear" w:color="auto" w:fill="FFFFFF"/>
        </w:rPr>
        <w:t xml:space="preserve"> </w:t>
      </w:r>
      <w:r w:rsidR="00270952" w:rsidRPr="006D7DCA">
        <w:rPr>
          <w:rFonts w:ascii="Times New Roman" w:eastAsia="Calibri" w:hAnsi="Times New Roman" w:cs="Times New Roman"/>
          <w:sz w:val="22"/>
          <w:szCs w:val="22"/>
        </w:rPr>
        <w:t>https://doi.org/10.1186/s12909-023-04316-y</w:t>
      </w:r>
    </w:p>
    <w:p w14:paraId="3F1664A6"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lang w:val="en-US"/>
        </w:rPr>
        <w:t>Lopes, A. R., &amp; Nihei, O. K. (2021). Depression, anxiety and stress symptoms in Brazilian university students during the COVID-19 pandemic: Predictors and association with life satisfaction, psychological well-being and coping strategies</w:t>
      </w:r>
      <w:r w:rsidRPr="006D7DCA">
        <w:rPr>
          <w:rFonts w:ascii="Times New Roman" w:eastAsia="Calibri" w:hAnsi="Times New Roman" w:cs="Times New Roman"/>
          <w:i/>
          <w:iCs/>
          <w:sz w:val="22"/>
          <w:szCs w:val="22"/>
          <w:lang w:val="en-US"/>
        </w:rPr>
        <w:t xml:space="preserve">. </w:t>
      </w:r>
      <w:proofErr w:type="spellStart"/>
      <w:r w:rsidRPr="006D7DCA">
        <w:rPr>
          <w:rFonts w:ascii="Times New Roman" w:eastAsia="Calibri" w:hAnsi="Times New Roman" w:cs="Times New Roman"/>
          <w:i/>
          <w:iCs/>
          <w:sz w:val="22"/>
          <w:szCs w:val="22"/>
          <w:lang w:val="en-US"/>
        </w:rPr>
        <w:t>PloS</w:t>
      </w:r>
      <w:proofErr w:type="spellEnd"/>
      <w:r w:rsidRPr="006D7DCA">
        <w:rPr>
          <w:rFonts w:ascii="Times New Roman" w:eastAsia="Calibri" w:hAnsi="Times New Roman" w:cs="Times New Roman"/>
          <w:i/>
          <w:iCs/>
          <w:sz w:val="22"/>
          <w:szCs w:val="22"/>
          <w:lang w:val="en-US"/>
        </w:rPr>
        <w:t xml:space="preserve"> one, 16</w:t>
      </w:r>
      <w:r w:rsidRPr="006D7DCA">
        <w:rPr>
          <w:rFonts w:ascii="Times New Roman" w:eastAsia="Calibri" w:hAnsi="Times New Roman" w:cs="Times New Roman"/>
          <w:sz w:val="22"/>
          <w:szCs w:val="22"/>
          <w:lang w:val="en-US"/>
        </w:rPr>
        <w:t xml:space="preserve">(10), e0258493. </w:t>
      </w:r>
      <w:hyperlink r:id="rId41" w:history="1">
        <w:r w:rsidRPr="006D7DCA">
          <w:rPr>
            <w:rFonts w:ascii="Times New Roman" w:eastAsia="Calibri" w:hAnsi="Times New Roman" w:cs="Times New Roman"/>
            <w:sz w:val="22"/>
            <w:szCs w:val="22"/>
            <w:u w:val="single"/>
            <w:lang w:val="en-US"/>
          </w:rPr>
          <w:t>https://doi.org/10.1371/journal.pone.0258493</w:t>
        </w:r>
      </w:hyperlink>
      <w:r w:rsidRPr="006D7DCA">
        <w:rPr>
          <w:rFonts w:ascii="Times New Roman" w:eastAsia="Calibri" w:hAnsi="Times New Roman" w:cs="Times New Roman"/>
          <w:sz w:val="22"/>
          <w:szCs w:val="22"/>
          <w:lang w:val="en-US"/>
        </w:rPr>
        <w:t xml:space="preserve"> </w:t>
      </w:r>
    </w:p>
    <w:p w14:paraId="59201A95" w14:textId="77777777" w:rsidR="008C46E8" w:rsidRPr="006D7DCA" w:rsidRDefault="008C46E8" w:rsidP="00181A0E">
      <w:pPr>
        <w:spacing w:before="240" w:line="360" w:lineRule="auto"/>
        <w:ind w:left="709" w:hanging="709"/>
        <w:jc w:val="both"/>
        <w:rPr>
          <w:rFonts w:ascii="Times New Roman" w:hAnsi="Times New Roman" w:cs="Times New Roman"/>
          <w:sz w:val="22"/>
          <w:szCs w:val="22"/>
          <w:u w:val="single"/>
          <w:lang w:val="en-US"/>
        </w:rPr>
      </w:pPr>
      <w:r w:rsidRPr="006D7DCA">
        <w:rPr>
          <w:rFonts w:ascii="Times New Roman" w:eastAsia="Calibri" w:hAnsi="Times New Roman" w:cs="Times New Roman"/>
          <w:sz w:val="22"/>
          <w:szCs w:val="22"/>
          <w:lang w:val="en-US"/>
        </w:rPr>
        <w:t xml:space="preserve">Luo, W., &amp; Mohammed, J. (2023). Mental health status and coping strategies of Chinese university students during the COVID-19 pandemic: A rapid review. </w:t>
      </w:r>
      <w:proofErr w:type="spellStart"/>
      <w:r w:rsidRPr="006D7DCA">
        <w:rPr>
          <w:rFonts w:ascii="Times New Roman" w:eastAsia="Calibri" w:hAnsi="Times New Roman" w:cs="Times New Roman"/>
          <w:i/>
          <w:iCs/>
          <w:sz w:val="22"/>
          <w:szCs w:val="22"/>
          <w:lang w:val="en-US"/>
        </w:rPr>
        <w:t>PloS</w:t>
      </w:r>
      <w:proofErr w:type="spellEnd"/>
      <w:r w:rsidRPr="006D7DCA">
        <w:rPr>
          <w:rFonts w:ascii="Times New Roman" w:eastAsia="Calibri" w:hAnsi="Times New Roman" w:cs="Times New Roman"/>
          <w:i/>
          <w:iCs/>
          <w:sz w:val="22"/>
          <w:szCs w:val="22"/>
          <w:lang w:val="en-US"/>
        </w:rPr>
        <w:t xml:space="preserve"> one</w:t>
      </w:r>
      <w:r w:rsidRPr="006D7DCA">
        <w:rPr>
          <w:rFonts w:ascii="Times New Roman" w:eastAsia="Calibri" w:hAnsi="Times New Roman" w:cs="Times New Roman"/>
          <w:sz w:val="22"/>
          <w:szCs w:val="22"/>
          <w:lang w:val="en-US"/>
        </w:rPr>
        <w:t xml:space="preserve">, </w:t>
      </w:r>
      <w:r w:rsidRPr="006D7DCA">
        <w:rPr>
          <w:rFonts w:ascii="Times New Roman" w:eastAsia="Calibri" w:hAnsi="Times New Roman" w:cs="Times New Roman"/>
          <w:i/>
          <w:iCs/>
          <w:sz w:val="22"/>
          <w:szCs w:val="22"/>
          <w:lang w:val="en-US"/>
        </w:rPr>
        <w:t>18</w:t>
      </w:r>
      <w:r w:rsidRPr="006D7DCA">
        <w:rPr>
          <w:rFonts w:ascii="Times New Roman" w:eastAsia="Calibri" w:hAnsi="Times New Roman" w:cs="Times New Roman"/>
          <w:sz w:val="22"/>
          <w:szCs w:val="22"/>
          <w:lang w:val="en-US"/>
        </w:rPr>
        <w:t xml:space="preserve">(12), e0296309. </w:t>
      </w:r>
      <w:hyperlink r:id="rId42" w:history="1">
        <w:r w:rsidRPr="006D7DCA">
          <w:rPr>
            <w:rFonts w:ascii="Times New Roman" w:eastAsia="Calibri" w:hAnsi="Times New Roman" w:cs="Times New Roman"/>
            <w:sz w:val="22"/>
            <w:szCs w:val="22"/>
            <w:u w:val="single"/>
            <w:lang w:val="en-US"/>
          </w:rPr>
          <w:t>https://doi.org/10.1371/journal.pone.0296309</w:t>
        </w:r>
      </w:hyperlink>
      <w:r w:rsidRPr="006D7DCA">
        <w:rPr>
          <w:rFonts w:ascii="Times New Roman" w:eastAsia="Calibri" w:hAnsi="Times New Roman" w:cs="Times New Roman"/>
          <w:sz w:val="22"/>
          <w:szCs w:val="22"/>
          <w:lang w:val="en-US"/>
        </w:rPr>
        <w:t xml:space="preserve"> </w:t>
      </w:r>
    </w:p>
    <w:p w14:paraId="3FA89DA5" w14:textId="1D61BED4" w:rsidR="008C46E8" w:rsidRPr="006D7DCA" w:rsidRDefault="008C46E8" w:rsidP="00181A0E">
      <w:pPr>
        <w:spacing w:before="240" w:line="360" w:lineRule="auto"/>
        <w:ind w:left="709" w:hanging="709"/>
        <w:jc w:val="both"/>
        <w:rPr>
          <w:rFonts w:ascii="Times New Roman" w:hAnsi="Times New Roman" w:cs="Times New Roman"/>
          <w:sz w:val="22"/>
          <w:szCs w:val="22"/>
        </w:rPr>
      </w:pPr>
      <w:bookmarkStart w:id="6" w:name="_Hlk184832975"/>
      <w:r w:rsidRPr="006D7DCA">
        <w:rPr>
          <w:rFonts w:ascii="Times New Roman" w:hAnsi="Times New Roman" w:cs="Times New Roman"/>
          <w:sz w:val="22"/>
          <w:szCs w:val="22"/>
          <w:lang w:val="en-US"/>
        </w:rPr>
        <w:t>Mahindru</w:t>
      </w:r>
      <w:bookmarkEnd w:id="6"/>
      <w:r w:rsidRPr="006D7DCA">
        <w:rPr>
          <w:rFonts w:ascii="Times New Roman" w:hAnsi="Times New Roman" w:cs="Times New Roman"/>
          <w:sz w:val="22"/>
          <w:szCs w:val="22"/>
          <w:lang w:val="en-US"/>
        </w:rPr>
        <w:t>, A., Patil, P., &amp; Agrawal, V. (2023). Role of physical activity on mental health and well-being: A review. </w:t>
      </w:r>
      <w:proofErr w:type="spellStart"/>
      <w:r w:rsidRPr="006D7DCA">
        <w:rPr>
          <w:rFonts w:ascii="Times New Roman" w:hAnsi="Times New Roman" w:cs="Times New Roman"/>
          <w:i/>
          <w:iCs/>
          <w:sz w:val="22"/>
          <w:szCs w:val="22"/>
        </w:rPr>
        <w:t>Cureus</w:t>
      </w:r>
      <w:proofErr w:type="spellEnd"/>
      <w:r w:rsidRPr="006D7DCA">
        <w:rPr>
          <w:rFonts w:ascii="Times New Roman" w:hAnsi="Times New Roman" w:cs="Times New Roman"/>
          <w:sz w:val="22"/>
          <w:szCs w:val="22"/>
        </w:rPr>
        <w:t>, </w:t>
      </w:r>
      <w:r w:rsidRPr="006D7DCA">
        <w:rPr>
          <w:rFonts w:ascii="Times New Roman" w:hAnsi="Times New Roman" w:cs="Times New Roman"/>
          <w:i/>
          <w:iCs/>
          <w:sz w:val="22"/>
          <w:szCs w:val="22"/>
        </w:rPr>
        <w:t>15</w:t>
      </w:r>
      <w:r w:rsidRPr="006D7DCA">
        <w:rPr>
          <w:rFonts w:ascii="Times New Roman" w:hAnsi="Times New Roman" w:cs="Times New Roman"/>
          <w:sz w:val="22"/>
          <w:szCs w:val="22"/>
        </w:rPr>
        <w:t>(1).</w:t>
      </w:r>
      <w:r w:rsidR="00270952" w:rsidRPr="006D7DCA">
        <w:t xml:space="preserve"> </w:t>
      </w:r>
      <w:r w:rsidR="00270952" w:rsidRPr="006D7DCA">
        <w:rPr>
          <w:rFonts w:ascii="Times New Roman" w:hAnsi="Times New Roman" w:cs="Times New Roman"/>
          <w:sz w:val="22"/>
          <w:szCs w:val="22"/>
        </w:rPr>
        <w:t>https://doi.org/10.7759/cureus.33475</w:t>
      </w:r>
    </w:p>
    <w:p w14:paraId="42B4A2C6" w14:textId="55DF9722"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rPr>
        <w:t xml:space="preserve">Martín, I. (2007). Estrés académico en estudiantes universitarios. </w:t>
      </w:r>
      <w:r w:rsidRPr="006D7DCA">
        <w:rPr>
          <w:rFonts w:ascii="Times New Roman" w:hAnsi="Times New Roman" w:cs="Times New Roman"/>
          <w:i/>
          <w:iCs/>
          <w:sz w:val="22"/>
          <w:szCs w:val="22"/>
        </w:rPr>
        <w:t>Apuntes de Psicología</w:t>
      </w:r>
      <w:r w:rsidRPr="006D7DCA">
        <w:rPr>
          <w:rFonts w:ascii="Times New Roman" w:hAnsi="Times New Roman" w:cs="Times New Roman"/>
          <w:sz w:val="22"/>
          <w:szCs w:val="22"/>
        </w:rPr>
        <w:t>, 25(1) 87-99.</w:t>
      </w:r>
      <w:r w:rsidR="00270952" w:rsidRPr="006D7DCA">
        <w:t xml:space="preserve"> </w:t>
      </w:r>
      <w:hyperlink r:id="rId43" w:history="1">
        <w:r w:rsidR="00270952" w:rsidRPr="006D7DCA">
          <w:rPr>
            <w:rStyle w:val="Hipervnculo"/>
            <w:rFonts w:ascii="Times New Roman" w:hAnsi="Times New Roman" w:cs="Times New Roman"/>
            <w:color w:val="auto"/>
            <w:sz w:val="22"/>
            <w:szCs w:val="22"/>
          </w:rPr>
          <w:t>https://doi.org/10.55414/qvwpqj92</w:t>
        </w:r>
      </w:hyperlink>
    </w:p>
    <w:p w14:paraId="26D56BFC" w14:textId="416BCD1D" w:rsidR="008C46E8" w:rsidRPr="006D7DCA" w:rsidRDefault="008C46E8" w:rsidP="00181A0E">
      <w:pPr>
        <w:spacing w:before="240" w:line="360" w:lineRule="auto"/>
        <w:ind w:left="709" w:hanging="709"/>
        <w:jc w:val="both"/>
        <w:rPr>
          <w:rFonts w:ascii="Times New Roman" w:eastAsia="Calibri" w:hAnsi="Times New Roman" w:cs="Times New Roman"/>
          <w:sz w:val="22"/>
          <w:szCs w:val="22"/>
        </w:rPr>
      </w:pPr>
      <w:r w:rsidRPr="006D7DCA">
        <w:rPr>
          <w:rFonts w:ascii="Times New Roman" w:eastAsia="Calibri" w:hAnsi="Times New Roman" w:cs="Times New Roman"/>
          <w:sz w:val="22"/>
          <w:szCs w:val="22"/>
        </w:rPr>
        <w:t xml:space="preserve">Ministerio de Sanidad. (2025). </w:t>
      </w:r>
      <w:r w:rsidRPr="006D7DCA">
        <w:rPr>
          <w:rFonts w:ascii="Times New Roman" w:eastAsia="Calibri" w:hAnsi="Times New Roman" w:cs="Times New Roman"/>
          <w:i/>
          <w:iCs/>
          <w:sz w:val="22"/>
          <w:szCs w:val="22"/>
        </w:rPr>
        <w:t>Nota técnica: Encuesta de Salud de España 2023. Ministerio de Sanidad</w:t>
      </w:r>
      <w:r w:rsidRPr="006D7DCA">
        <w:rPr>
          <w:rFonts w:ascii="Times New Roman" w:eastAsia="Calibri" w:hAnsi="Times New Roman" w:cs="Times New Roman"/>
          <w:sz w:val="22"/>
          <w:szCs w:val="22"/>
        </w:rPr>
        <w:t xml:space="preserve">. </w:t>
      </w:r>
      <w:hyperlink r:id="rId44" w:history="1">
        <w:r w:rsidRPr="006D7DCA">
          <w:rPr>
            <w:rStyle w:val="Hipervnculo"/>
            <w:rFonts w:ascii="Times New Roman" w:eastAsia="Calibri" w:hAnsi="Times New Roman" w:cs="Times New Roman"/>
            <w:color w:val="auto"/>
            <w:sz w:val="22"/>
            <w:szCs w:val="22"/>
          </w:rPr>
          <w:t>https://www.sanidad.gob.es/estadEstudios/estadisticas/encuestaSaludEspana/ESdE2023/ESdE2023_notatecnica.pdf</w:t>
        </w:r>
      </w:hyperlink>
    </w:p>
    <w:p w14:paraId="649C6528" w14:textId="2AC2D45A"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lang w:val="en-US"/>
        </w:rPr>
        <w:t>Moyers, S. A., &amp; Hagger, M. S. (2023). Physical activity and cortisol regulation: A meta-analysis. </w:t>
      </w:r>
      <w:r w:rsidRPr="006D7DCA">
        <w:rPr>
          <w:rFonts w:ascii="Times New Roman" w:eastAsia="Calibri" w:hAnsi="Times New Roman" w:cs="Times New Roman"/>
          <w:i/>
          <w:iCs/>
          <w:sz w:val="22"/>
          <w:szCs w:val="22"/>
          <w:lang w:val="en-US"/>
        </w:rPr>
        <w:t>Biological psychology</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179</w:t>
      </w:r>
      <w:r w:rsidRPr="006D7DCA">
        <w:rPr>
          <w:rFonts w:ascii="Times New Roman" w:eastAsia="Calibri" w:hAnsi="Times New Roman" w:cs="Times New Roman"/>
          <w:sz w:val="22"/>
          <w:szCs w:val="22"/>
          <w:lang w:val="en-US"/>
        </w:rPr>
        <w:t>, 108548.</w:t>
      </w:r>
      <w:r w:rsidR="00843598" w:rsidRPr="006D7DCA">
        <w:t xml:space="preserve"> </w:t>
      </w:r>
      <w:hyperlink r:id="rId45" w:tgtFrame="_blank" w:tooltip="Persistent link using digital object identifier" w:history="1">
        <w:r w:rsidR="00843598" w:rsidRPr="006D7DCA">
          <w:rPr>
            <w:rStyle w:val="Hipervnculo"/>
            <w:rFonts w:ascii="Times New Roman" w:eastAsia="Calibri" w:hAnsi="Times New Roman" w:cs="Times New Roman"/>
            <w:color w:val="auto"/>
            <w:sz w:val="22"/>
            <w:szCs w:val="22"/>
          </w:rPr>
          <w:t>https://doi.org/10.1016/j.biopsycho.2023.108548</w:t>
        </w:r>
      </w:hyperlink>
    </w:p>
    <w:p w14:paraId="5EE19BBA"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lang w:val="en-US"/>
        </w:rPr>
        <w:t xml:space="preserve">Mseleku, Z. (2020). A literature review of E-learning and E-teaching in the era of Covid-19 pandemic. </w:t>
      </w:r>
      <w:r w:rsidRPr="006D7DCA">
        <w:rPr>
          <w:rFonts w:ascii="Times New Roman" w:eastAsia="Calibri" w:hAnsi="Times New Roman" w:cs="Times New Roman"/>
          <w:i/>
          <w:iCs/>
          <w:sz w:val="22"/>
          <w:szCs w:val="22"/>
          <w:lang w:val="en-US"/>
        </w:rPr>
        <w:t>International Journal of Innovative Science and Research Technology, 5</w:t>
      </w:r>
      <w:r w:rsidRPr="006D7DCA">
        <w:rPr>
          <w:rFonts w:ascii="Times New Roman" w:eastAsia="Calibri" w:hAnsi="Times New Roman" w:cs="Times New Roman"/>
          <w:sz w:val="22"/>
          <w:szCs w:val="22"/>
          <w:lang w:val="en-US"/>
        </w:rPr>
        <w:t>(10), 588-597.</w:t>
      </w:r>
    </w:p>
    <w:p w14:paraId="10201381"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lang w:val="en-US"/>
        </w:rPr>
        <w:t xml:space="preserve">Muñoz, F. (2017). </w:t>
      </w:r>
      <w:r w:rsidRPr="006D7DCA">
        <w:rPr>
          <w:rFonts w:ascii="Times New Roman" w:hAnsi="Times New Roman" w:cs="Times New Roman"/>
          <w:i/>
          <w:iCs/>
          <w:sz w:val="22"/>
          <w:szCs w:val="22"/>
        </w:rPr>
        <w:t xml:space="preserve">El estrés académico: problemas y soluciones desde una perspectiva psicosocial. </w:t>
      </w:r>
      <w:r w:rsidRPr="006D7DCA">
        <w:rPr>
          <w:rFonts w:ascii="Times New Roman" w:hAnsi="Times New Roman" w:cs="Times New Roman"/>
          <w:sz w:val="22"/>
          <w:szCs w:val="22"/>
        </w:rPr>
        <w:t>Universidad de Huelva.</w:t>
      </w:r>
    </w:p>
    <w:p w14:paraId="3998E2AD" w14:textId="15F27669"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lang w:val="en-US"/>
        </w:rPr>
        <w:t xml:space="preserve">Neophytou, E., Manwell, L. A., &amp; </w:t>
      </w:r>
      <w:proofErr w:type="spellStart"/>
      <w:r w:rsidRPr="006D7DCA">
        <w:rPr>
          <w:rFonts w:ascii="Times New Roman" w:eastAsia="Calibri" w:hAnsi="Times New Roman" w:cs="Times New Roman"/>
          <w:sz w:val="22"/>
          <w:szCs w:val="22"/>
          <w:lang w:val="en-US"/>
        </w:rPr>
        <w:t>Eikelboom</w:t>
      </w:r>
      <w:proofErr w:type="spellEnd"/>
      <w:r w:rsidRPr="006D7DCA">
        <w:rPr>
          <w:rFonts w:ascii="Times New Roman" w:eastAsia="Calibri" w:hAnsi="Times New Roman" w:cs="Times New Roman"/>
          <w:sz w:val="22"/>
          <w:szCs w:val="22"/>
          <w:lang w:val="en-US"/>
        </w:rPr>
        <w:t>, R. (2021). Effects of excessive screen time on neurodevelopment, learning, memory, mental health, and neurodegeneration: A scoping review. </w:t>
      </w:r>
      <w:r w:rsidRPr="006D7DCA">
        <w:rPr>
          <w:rFonts w:ascii="Times New Roman" w:eastAsia="Calibri" w:hAnsi="Times New Roman" w:cs="Times New Roman"/>
          <w:i/>
          <w:iCs/>
          <w:sz w:val="22"/>
          <w:szCs w:val="22"/>
          <w:lang w:val="en-US"/>
        </w:rPr>
        <w:t>International Journal of Mental Health and Addiction</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19</w:t>
      </w:r>
      <w:r w:rsidRPr="006D7DCA">
        <w:rPr>
          <w:rFonts w:ascii="Times New Roman" w:eastAsia="Calibri" w:hAnsi="Times New Roman" w:cs="Times New Roman"/>
          <w:sz w:val="22"/>
          <w:szCs w:val="22"/>
          <w:lang w:val="en-US"/>
        </w:rPr>
        <w:t>(3), 724-744.</w:t>
      </w:r>
      <w:r w:rsidR="00843598" w:rsidRPr="006D7DCA">
        <w:rPr>
          <w:rFonts w:ascii="Merriweather Sans" w:hAnsi="Merriweather Sans"/>
          <w:shd w:val="clear" w:color="auto" w:fill="FFFFFF"/>
        </w:rPr>
        <w:t xml:space="preserve"> </w:t>
      </w:r>
      <w:r w:rsidR="00843598" w:rsidRPr="006D7DCA">
        <w:rPr>
          <w:rFonts w:ascii="Times New Roman" w:eastAsia="Calibri" w:hAnsi="Times New Roman" w:cs="Times New Roman"/>
          <w:sz w:val="22"/>
          <w:szCs w:val="22"/>
        </w:rPr>
        <w:t>https://doi.org/10.1007/s11469-019-00182-2</w:t>
      </w:r>
    </w:p>
    <w:p w14:paraId="393CE422"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proofErr w:type="spellStart"/>
      <w:r w:rsidRPr="006D7DCA">
        <w:rPr>
          <w:rFonts w:ascii="Times New Roman" w:eastAsia="Calibri" w:hAnsi="Times New Roman" w:cs="Times New Roman"/>
          <w:sz w:val="22"/>
          <w:szCs w:val="22"/>
          <w:lang w:val="en-US"/>
        </w:rPr>
        <w:t>Ogunsanwo</w:t>
      </w:r>
      <w:proofErr w:type="spellEnd"/>
      <w:r w:rsidRPr="006D7DCA">
        <w:rPr>
          <w:rFonts w:ascii="Times New Roman" w:eastAsia="Calibri" w:hAnsi="Times New Roman" w:cs="Times New Roman"/>
          <w:sz w:val="22"/>
          <w:szCs w:val="22"/>
          <w:lang w:val="en-US"/>
        </w:rPr>
        <w:t xml:space="preserve">, M. A., &amp; Bukki, A. O. (2023). Undergraduates' academic engagement: the predictive power of academic stress, emotional intelligence and resilience. </w:t>
      </w:r>
      <w:r w:rsidRPr="006D7DCA">
        <w:rPr>
          <w:rFonts w:ascii="Times New Roman" w:eastAsia="Calibri" w:hAnsi="Times New Roman" w:cs="Times New Roman"/>
          <w:i/>
          <w:iCs/>
          <w:sz w:val="22"/>
          <w:szCs w:val="22"/>
          <w:lang w:val="en-US"/>
        </w:rPr>
        <w:t>Journal of Social Sciences and Humanities, 9,</w:t>
      </w:r>
      <w:r w:rsidRPr="006D7DCA">
        <w:rPr>
          <w:rFonts w:ascii="Times New Roman" w:eastAsia="Calibri" w:hAnsi="Times New Roman" w:cs="Times New Roman"/>
          <w:sz w:val="22"/>
          <w:szCs w:val="22"/>
          <w:lang w:val="en-US"/>
        </w:rPr>
        <w:t xml:space="preserve"> 1-17. </w:t>
      </w:r>
      <w:hyperlink r:id="rId46" w:history="1">
        <w:r w:rsidRPr="006D7DCA">
          <w:rPr>
            <w:rFonts w:ascii="Times New Roman" w:eastAsia="Calibri" w:hAnsi="Times New Roman" w:cs="Times New Roman"/>
            <w:sz w:val="22"/>
            <w:szCs w:val="22"/>
            <w:u w:val="single"/>
            <w:lang w:val="en-US"/>
          </w:rPr>
          <w:t>https://doi.org/10.51732/njssh.v9i1.161</w:t>
        </w:r>
      </w:hyperlink>
      <w:r w:rsidRPr="006D7DCA">
        <w:rPr>
          <w:rFonts w:ascii="Times New Roman" w:eastAsia="Calibri" w:hAnsi="Times New Roman" w:cs="Times New Roman"/>
          <w:sz w:val="22"/>
          <w:szCs w:val="22"/>
          <w:lang w:val="en-US"/>
        </w:rPr>
        <w:t xml:space="preserve"> </w:t>
      </w:r>
    </w:p>
    <w:p w14:paraId="7008CBA8" w14:textId="77777777" w:rsidR="008C46E8" w:rsidRPr="006D7DCA" w:rsidRDefault="008C46E8" w:rsidP="00181A0E">
      <w:pPr>
        <w:spacing w:before="240" w:line="360" w:lineRule="auto"/>
        <w:ind w:left="709" w:hanging="709"/>
        <w:jc w:val="both"/>
        <w:rPr>
          <w:rFonts w:ascii="Times New Roman" w:hAnsi="Times New Roman" w:cs="Times New Roman"/>
          <w:sz w:val="22"/>
          <w:szCs w:val="22"/>
          <w:u w:val="single"/>
          <w:lang w:val="en-GB"/>
        </w:rPr>
      </w:pPr>
      <w:r w:rsidRPr="006D7DCA">
        <w:rPr>
          <w:rFonts w:ascii="Times New Roman" w:eastAsia="Calibri" w:hAnsi="Times New Roman" w:cs="Times New Roman"/>
          <w:sz w:val="22"/>
          <w:szCs w:val="22"/>
          <w:lang w:val="en-US"/>
        </w:rPr>
        <w:t xml:space="preserve">Orzechowska, A., </w:t>
      </w:r>
      <w:proofErr w:type="spellStart"/>
      <w:r w:rsidRPr="006D7DCA">
        <w:rPr>
          <w:rFonts w:ascii="Times New Roman" w:eastAsia="Calibri" w:hAnsi="Times New Roman" w:cs="Times New Roman"/>
          <w:sz w:val="22"/>
          <w:szCs w:val="22"/>
          <w:lang w:val="en-US"/>
        </w:rPr>
        <w:t>Bliźniewska</w:t>
      </w:r>
      <w:proofErr w:type="spellEnd"/>
      <w:r w:rsidRPr="006D7DCA">
        <w:rPr>
          <w:rFonts w:ascii="Times New Roman" w:eastAsia="Calibri" w:hAnsi="Times New Roman" w:cs="Times New Roman"/>
          <w:sz w:val="22"/>
          <w:szCs w:val="22"/>
          <w:lang w:val="en-US"/>
        </w:rPr>
        <w:t xml:space="preserve">-Kowalska, K., Gałecki, P., Szulc, A., </w:t>
      </w:r>
      <w:proofErr w:type="spellStart"/>
      <w:r w:rsidRPr="006D7DCA">
        <w:rPr>
          <w:rFonts w:ascii="Times New Roman" w:eastAsia="Calibri" w:hAnsi="Times New Roman" w:cs="Times New Roman"/>
          <w:sz w:val="22"/>
          <w:szCs w:val="22"/>
          <w:lang w:val="en-US"/>
        </w:rPr>
        <w:t>Płaza</w:t>
      </w:r>
      <w:proofErr w:type="spellEnd"/>
      <w:r w:rsidRPr="006D7DCA">
        <w:rPr>
          <w:rFonts w:ascii="Times New Roman" w:eastAsia="Calibri" w:hAnsi="Times New Roman" w:cs="Times New Roman"/>
          <w:sz w:val="22"/>
          <w:szCs w:val="22"/>
          <w:lang w:val="en-US"/>
        </w:rPr>
        <w:t xml:space="preserve">, O., Su, K. P., Georgescu, D., &amp; </w:t>
      </w:r>
      <w:proofErr w:type="spellStart"/>
      <w:r w:rsidRPr="006D7DCA">
        <w:rPr>
          <w:rFonts w:ascii="Times New Roman" w:eastAsia="Calibri" w:hAnsi="Times New Roman" w:cs="Times New Roman"/>
          <w:sz w:val="22"/>
          <w:szCs w:val="22"/>
          <w:lang w:val="en-US"/>
        </w:rPr>
        <w:t>Gałecka</w:t>
      </w:r>
      <w:proofErr w:type="spellEnd"/>
      <w:r w:rsidRPr="006D7DCA">
        <w:rPr>
          <w:rFonts w:ascii="Times New Roman" w:eastAsia="Calibri" w:hAnsi="Times New Roman" w:cs="Times New Roman"/>
          <w:sz w:val="22"/>
          <w:szCs w:val="22"/>
          <w:lang w:val="en-US"/>
        </w:rPr>
        <w:t xml:space="preserve">, M. (2022). Ways of Coping with Stress among Patients with Depressive Disorders. </w:t>
      </w:r>
      <w:r w:rsidRPr="006D7DCA">
        <w:rPr>
          <w:rFonts w:ascii="Times New Roman" w:eastAsia="Calibri" w:hAnsi="Times New Roman" w:cs="Times New Roman"/>
          <w:i/>
          <w:iCs/>
          <w:sz w:val="22"/>
          <w:szCs w:val="22"/>
          <w:lang w:val="en-US"/>
        </w:rPr>
        <w:t>Journal of clinical medicine, 11</w:t>
      </w:r>
      <w:r w:rsidRPr="006D7DCA">
        <w:rPr>
          <w:rFonts w:ascii="Times New Roman" w:eastAsia="Calibri" w:hAnsi="Times New Roman" w:cs="Times New Roman"/>
          <w:sz w:val="22"/>
          <w:szCs w:val="22"/>
          <w:lang w:val="en-US"/>
        </w:rPr>
        <w:t xml:space="preserve">(21), 6500. </w:t>
      </w:r>
      <w:hyperlink r:id="rId47" w:history="1">
        <w:r w:rsidRPr="006D7DCA">
          <w:rPr>
            <w:rFonts w:ascii="Times New Roman" w:eastAsia="Calibri" w:hAnsi="Times New Roman" w:cs="Times New Roman"/>
            <w:sz w:val="22"/>
            <w:szCs w:val="22"/>
            <w:u w:val="single"/>
            <w:lang w:val="en-US"/>
          </w:rPr>
          <w:t>https://doi.org/10.3390/jcm11216500</w:t>
        </w:r>
      </w:hyperlink>
    </w:p>
    <w:p w14:paraId="1C79EE09" w14:textId="4DAA9DE5"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rPr>
        <w:t xml:space="preserve">Paiva, U., Cortese, S., Flor, M., Moncada-Parra, A., Lecumberri, A., Eudave, L., ... </w:t>
      </w:r>
      <w:r w:rsidRPr="006D7DCA">
        <w:rPr>
          <w:rFonts w:ascii="Times New Roman" w:hAnsi="Times New Roman" w:cs="Times New Roman"/>
          <w:sz w:val="22"/>
          <w:szCs w:val="22"/>
          <w:lang w:val="en-US"/>
        </w:rPr>
        <w:t xml:space="preserve">&amp; </w:t>
      </w:r>
      <w:proofErr w:type="spellStart"/>
      <w:r w:rsidRPr="006D7DCA">
        <w:rPr>
          <w:rFonts w:ascii="Times New Roman" w:hAnsi="Times New Roman" w:cs="Times New Roman"/>
          <w:sz w:val="22"/>
          <w:szCs w:val="22"/>
          <w:lang w:val="en-US"/>
        </w:rPr>
        <w:t>Arrondo</w:t>
      </w:r>
      <w:proofErr w:type="spellEnd"/>
      <w:r w:rsidRPr="006D7DCA">
        <w:rPr>
          <w:rFonts w:ascii="Times New Roman" w:hAnsi="Times New Roman" w:cs="Times New Roman"/>
          <w:sz w:val="22"/>
          <w:szCs w:val="22"/>
          <w:lang w:val="en-US"/>
        </w:rPr>
        <w:t xml:space="preserve">, G. (2025). Prevalence of mental disorder symptoms among university students: An umbrella review. </w:t>
      </w:r>
      <w:proofErr w:type="spellStart"/>
      <w:r w:rsidRPr="006D7DCA">
        <w:rPr>
          <w:rFonts w:ascii="Times New Roman" w:hAnsi="Times New Roman" w:cs="Times New Roman"/>
          <w:i/>
          <w:iCs/>
          <w:sz w:val="22"/>
          <w:szCs w:val="22"/>
        </w:rPr>
        <w:t>Neuroscience</w:t>
      </w:r>
      <w:proofErr w:type="spellEnd"/>
      <w:r w:rsidRPr="006D7DCA">
        <w:rPr>
          <w:rFonts w:ascii="Times New Roman" w:hAnsi="Times New Roman" w:cs="Times New Roman"/>
          <w:i/>
          <w:iCs/>
          <w:sz w:val="22"/>
          <w:szCs w:val="22"/>
        </w:rPr>
        <w:t xml:space="preserve"> &amp; </w:t>
      </w:r>
      <w:proofErr w:type="spellStart"/>
      <w:r w:rsidRPr="006D7DCA">
        <w:rPr>
          <w:rFonts w:ascii="Times New Roman" w:hAnsi="Times New Roman" w:cs="Times New Roman"/>
          <w:i/>
          <w:iCs/>
          <w:sz w:val="22"/>
          <w:szCs w:val="22"/>
        </w:rPr>
        <w:t>Biobehavioral</w:t>
      </w:r>
      <w:proofErr w:type="spellEnd"/>
      <w:r w:rsidRPr="006D7DCA">
        <w:rPr>
          <w:rFonts w:ascii="Times New Roman" w:hAnsi="Times New Roman" w:cs="Times New Roman"/>
          <w:i/>
          <w:iCs/>
          <w:sz w:val="22"/>
          <w:szCs w:val="22"/>
        </w:rPr>
        <w:t xml:space="preserve"> </w:t>
      </w:r>
      <w:proofErr w:type="spellStart"/>
      <w:r w:rsidRPr="006D7DCA">
        <w:rPr>
          <w:rFonts w:ascii="Times New Roman" w:hAnsi="Times New Roman" w:cs="Times New Roman"/>
          <w:i/>
          <w:iCs/>
          <w:sz w:val="22"/>
          <w:szCs w:val="22"/>
        </w:rPr>
        <w:t>Reviews</w:t>
      </w:r>
      <w:proofErr w:type="spellEnd"/>
      <w:r w:rsidRPr="006D7DCA">
        <w:rPr>
          <w:rFonts w:ascii="Times New Roman" w:hAnsi="Times New Roman" w:cs="Times New Roman"/>
          <w:sz w:val="22"/>
          <w:szCs w:val="22"/>
        </w:rPr>
        <w:t>, 106244.</w:t>
      </w:r>
      <w:r w:rsidR="00843598" w:rsidRPr="006D7DCA">
        <w:t xml:space="preserve"> </w:t>
      </w:r>
      <w:hyperlink r:id="rId48" w:tgtFrame="_blank" w:tooltip="Persistent link using digital object identifier" w:history="1">
        <w:r w:rsidR="00843598" w:rsidRPr="006D7DCA">
          <w:rPr>
            <w:rStyle w:val="Hipervnculo"/>
            <w:rFonts w:ascii="Times New Roman" w:hAnsi="Times New Roman" w:cs="Times New Roman"/>
            <w:color w:val="auto"/>
            <w:sz w:val="22"/>
            <w:szCs w:val="22"/>
          </w:rPr>
          <w:t>https://doi.org/10.1016/j.neubiorev.2025.106244</w:t>
        </w:r>
      </w:hyperlink>
    </w:p>
    <w:p w14:paraId="0CAD8871" w14:textId="77777777" w:rsidR="008C46E8" w:rsidRPr="006D7DCA" w:rsidRDefault="008C46E8" w:rsidP="008C46E8">
      <w:pPr>
        <w:spacing w:before="240" w:line="360" w:lineRule="auto"/>
        <w:ind w:left="709" w:hanging="709"/>
        <w:jc w:val="both"/>
        <w:rPr>
          <w:rFonts w:ascii="Times New Roman" w:eastAsia="Calibri" w:hAnsi="Times New Roman" w:cs="Times New Roman"/>
          <w:sz w:val="22"/>
          <w:szCs w:val="22"/>
        </w:rPr>
      </w:pPr>
      <w:r w:rsidRPr="006D7DCA">
        <w:rPr>
          <w:rFonts w:ascii="Times New Roman" w:eastAsia="Calibri" w:hAnsi="Times New Roman" w:cs="Times New Roman"/>
          <w:sz w:val="22"/>
          <w:szCs w:val="22"/>
          <w:lang w:val="en-US"/>
        </w:rPr>
        <w:t>Pan American Health Organization. (</w:t>
      </w:r>
      <w:proofErr w:type="spellStart"/>
      <w:r w:rsidRPr="006D7DCA">
        <w:rPr>
          <w:rFonts w:ascii="Times New Roman" w:eastAsia="Calibri" w:hAnsi="Times New Roman" w:cs="Times New Roman"/>
          <w:sz w:val="22"/>
          <w:szCs w:val="22"/>
          <w:lang w:val="en-US"/>
        </w:rPr>
        <w:t>año</w:t>
      </w:r>
      <w:proofErr w:type="spellEnd"/>
      <w:r w:rsidRPr="006D7DCA">
        <w:rPr>
          <w:rFonts w:ascii="Times New Roman" w:eastAsia="Calibri" w:hAnsi="Times New Roman" w:cs="Times New Roman"/>
          <w:sz w:val="22"/>
          <w:szCs w:val="22"/>
          <w:lang w:val="en-US"/>
        </w:rPr>
        <w:t xml:space="preserve">). </w:t>
      </w:r>
      <w:r w:rsidRPr="006D7DCA">
        <w:rPr>
          <w:rFonts w:ascii="Times New Roman" w:eastAsia="Calibri" w:hAnsi="Times New Roman" w:cs="Times New Roman"/>
          <w:i/>
          <w:iCs/>
          <w:sz w:val="22"/>
          <w:szCs w:val="22"/>
        </w:rPr>
        <w:t>Informe mundial sobre la salud mental. Transformar la salud mental para todos</w:t>
      </w:r>
      <w:r w:rsidRPr="006D7DCA">
        <w:rPr>
          <w:rFonts w:ascii="Times New Roman" w:eastAsia="Calibri" w:hAnsi="Times New Roman" w:cs="Times New Roman"/>
          <w:sz w:val="22"/>
          <w:szCs w:val="22"/>
        </w:rPr>
        <w:t xml:space="preserve">. Organización Panamericana de la Salud / Organización Mundial de la Salud. </w:t>
      </w:r>
      <w:hyperlink r:id="rId49" w:history="1">
        <w:r w:rsidRPr="006D7DCA">
          <w:rPr>
            <w:rStyle w:val="Hipervnculo"/>
            <w:rFonts w:ascii="Times New Roman" w:eastAsia="Calibri" w:hAnsi="Times New Roman" w:cs="Times New Roman"/>
            <w:color w:val="auto"/>
            <w:sz w:val="22"/>
            <w:szCs w:val="22"/>
          </w:rPr>
          <w:t>https://iris.paho.org/server/api/core/bitstreams/a01bc606-f297-4b5b-b9bb-be0c64a34410/content</w:t>
        </w:r>
      </w:hyperlink>
    </w:p>
    <w:p w14:paraId="7858213A"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lang w:val="en-US"/>
        </w:rPr>
        <w:t xml:space="preserve">Parra, P. &amp; Pérez, C (2010). </w:t>
      </w:r>
      <w:r w:rsidRPr="006D7DCA">
        <w:rPr>
          <w:rFonts w:ascii="Times New Roman" w:hAnsi="Times New Roman" w:cs="Times New Roman"/>
          <w:sz w:val="22"/>
          <w:szCs w:val="22"/>
        </w:rPr>
        <w:t xml:space="preserve">Propiedades psicométricas de la escala de compromiso académico, UWES-S (versión abreviada), en estudiantes de psicología. </w:t>
      </w:r>
      <w:r w:rsidRPr="006D7DCA">
        <w:rPr>
          <w:rFonts w:ascii="Times New Roman" w:hAnsi="Times New Roman" w:cs="Times New Roman"/>
          <w:i/>
          <w:iCs/>
          <w:sz w:val="22"/>
          <w:szCs w:val="22"/>
        </w:rPr>
        <w:t>Revista de Educación en Ciencias Salud</w:t>
      </w:r>
      <w:r w:rsidRPr="006D7DCA">
        <w:rPr>
          <w:rFonts w:ascii="Times New Roman" w:hAnsi="Times New Roman" w:cs="Times New Roman"/>
          <w:sz w:val="22"/>
          <w:szCs w:val="22"/>
        </w:rPr>
        <w:t>, 7 (2), 128-133.</w:t>
      </w:r>
    </w:p>
    <w:p w14:paraId="67FFA787" w14:textId="1929D855"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rPr>
        <w:t xml:space="preserve">Pereira, L. D. C., &amp; Ramos, F. P. (2021). </w:t>
      </w:r>
      <w:r w:rsidRPr="006D7DCA">
        <w:rPr>
          <w:rFonts w:ascii="Times New Roman" w:hAnsi="Times New Roman" w:cs="Times New Roman"/>
          <w:sz w:val="22"/>
          <w:szCs w:val="22"/>
          <w:lang w:val="en-US"/>
        </w:rPr>
        <w:t>Academic procrastination in university students: A systematic review of the literature. </w:t>
      </w:r>
      <w:proofErr w:type="spellStart"/>
      <w:r w:rsidRPr="006D7DCA">
        <w:rPr>
          <w:rFonts w:ascii="Times New Roman" w:hAnsi="Times New Roman" w:cs="Times New Roman"/>
          <w:i/>
          <w:iCs/>
          <w:sz w:val="22"/>
          <w:szCs w:val="22"/>
        </w:rPr>
        <w:t>Psicologia</w:t>
      </w:r>
      <w:proofErr w:type="spellEnd"/>
      <w:r w:rsidRPr="006D7DCA">
        <w:rPr>
          <w:rFonts w:ascii="Times New Roman" w:hAnsi="Times New Roman" w:cs="Times New Roman"/>
          <w:i/>
          <w:iCs/>
          <w:sz w:val="22"/>
          <w:szCs w:val="22"/>
        </w:rPr>
        <w:t xml:space="preserve"> Escolar e Educacional</w:t>
      </w:r>
      <w:r w:rsidRPr="006D7DCA">
        <w:rPr>
          <w:rFonts w:ascii="Times New Roman" w:hAnsi="Times New Roman" w:cs="Times New Roman"/>
          <w:sz w:val="22"/>
          <w:szCs w:val="22"/>
        </w:rPr>
        <w:t>, </w:t>
      </w:r>
      <w:r w:rsidRPr="006D7DCA">
        <w:rPr>
          <w:rFonts w:ascii="Times New Roman" w:hAnsi="Times New Roman" w:cs="Times New Roman"/>
          <w:i/>
          <w:iCs/>
          <w:sz w:val="22"/>
          <w:szCs w:val="22"/>
        </w:rPr>
        <w:t>25</w:t>
      </w:r>
      <w:r w:rsidRPr="006D7DCA">
        <w:rPr>
          <w:rFonts w:ascii="Times New Roman" w:hAnsi="Times New Roman" w:cs="Times New Roman"/>
          <w:sz w:val="22"/>
          <w:szCs w:val="22"/>
        </w:rPr>
        <w:t>, e223504.</w:t>
      </w:r>
      <w:r w:rsidR="00843598" w:rsidRPr="006D7DCA">
        <w:rPr>
          <w:rFonts w:ascii="Times New Roman" w:hAnsi="Times New Roman" w:cs="Times New Roman"/>
          <w:sz w:val="22"/>
          <w:szCs w:val="22"/>
        </w:rPr>
        <w:t xml:space="preserve"> http://dx.doi.10.1590/2175-35392021223504</w:t>
      </w:r>
    </w:p>
    <w:p w14:paraId="28509E81" w14:textId="53202D7C" w:rsidR="00AD2D2A" w:rsidRPr="006D7DCA" w:rsidRDefault="002D0C40" w:rsidP="00181A0E">
      <w:pPr>
        <w:spacing w:before="240" w:line="360" w:lineRule="auto"/>
        <w:ind w:left="709" w:hanging="709"/>
        <w:jc w:val="both"/>
        <w:rPr>
          <w:rFonts w:ascii="Times New Roman" w:hAnsi="Times New Roman" w:cs="Times New Roman"/>
          <w:sz w:val="22"/>
          <w:szCs w:val="22"/>
        </w:rPr>
      </w:pPr>
      <w:proofErr w:type="spellStart"/>
      <w:r w:rsidRPr="006D7DCA">
        <w:rPr>
          <w:rFonts w:ascii="Times New Roman" w:hAnsi="Times New Roman" w:cs="Times New Roman"/>
          <w:sz w:val="22"/>
          <w:szCs w:val="22"/>
        </w:rPr>
        <w:t>Putwain</w:t>
      </w:r>
      <w:proofErr w:type="spellEnd"/>
      <w:r w:rsidRPr="006D7DCA">
        <w:rPr>
          <w:rFonts w:ascii="Times New Roman" w:hAnsi="Times New Roman" w:cs="Times New Roman"/>
          <w:sz w:val="22"/>
          <w:szCs w:val="22"/>
        </w:rPr>
        <w:t xml:space="preserve">, D. (2007). </w:t>
      </w:r>
      <w:proofErr w:type="spellStart"/>
      <w:r w:rsidRPr="006D7DCA">
        <w:rPr>
          <w:rFonts w:ascii="Times New Roman" w:hAnsi="Times New Roman" w:cs="Times New Roman"/>
          <w:sz w:val="22"/>
          <w:szCs w:val="22"/>
        </w:rPr>
        <w:t>Researching</w:t>
      </w:r>
      <w:proofErr w:type="spellEnd"/>
      <w:r w:rsidRPr="006D7DCA">
        <w:rPr>
          <w:rFonts w:ascii="Times New Roman" w:hAnsi="Times New Roman" w:cs="Times New Roman"/>
          <w:sz w:val="22"/>
          <w:szCs w:val="22"/>
        </w:rPr>
        <w:t xml:space="preserve"> </w:t>
      </w:r>
      <w:proofErr w:type="spellStart"/>
      <w:r w:rsidRPr="006D7DCA">
        <w:rPr>
          <w:rFonts w:ascii="Times New Roman" w:hAnsi="Times New Roman" w:cs="Times New Roman"/>
          <w:sz w:val="22"/>
          <w:szCs w:val="22"/>
        </w:rPr>
        <w:t>academic</w:t>
      </w:r>
      <w:proofErr w:type="spellEnd"/>
      <w:r w:rsidRPr="006D7DCA">
        <w:rPr>
          <w:rFonts w:ascii="Times New Roman" w:hAnsi="Times New Roman" w:cs="Times New Roman"/>
          <w:sz w:val="22"/>
          <w:szCs w:val="22"/>
        </w:rPr>
        <w:t xml:space="preserve"> stress and </w:t>
      </w:r>
      <w:proofErr w:type="spellStart"/>
      <w:r w:rsidRPr="006D7DCA">
        <w:rPr>
          <w:rFonts w:ascii="Times New Roman" w:hAnsi="Times New Roman" w:cs="Times New Roman"/>
          <w:sz w:val="22"/>
          <w:szCs w:val="22"/>
        </w:rPr>
        <w:t>anxiety</w:t>
      </w:r>
      <w:proofErr w:type="spellEnd"/>
      <w:r w:rsidRPr="006D7DCA">
        <w:rPr>
          <w:rFonts w:ascii="Times New Roman" w:hAnsi="Times New Roman" w:cs="Times New Roman"/>
          <w:sz w:val="22"/>
          <w:szCs w:val="22"/>
        </w:rPr>
        <w:t xml:space="preserve"> in </w:t>
      </w:r>
      <w:proofErr w:type="spellStart"/>
      <w:r w:rsidRPr="006D7DCA">
        <w:rPr>
          <w:rFonts w:ascii="Times New Roman" w:hAnsi="Times New Roman" w:cs="Times New Roman"/>
          <w:sz w:val="22"/>
          <w:szCs w:val="22"/>
        </w:rPr>
        <w:t>students</w:t>
      </w:r>
      <w:proofErr w:type="spellEnd"/>
      <w:r w:rsidRPr="006D7DCA">
        <w:rPr>
          <w:rFonts w:ascii="Times New Roman" w:hAnsi="Times New Roman" w:cs="Times New Roman"/>
          <w:sz w:val="22"/>
          <w:szCs w:val="22"/>
        </w:rPr>
        <w:t xml:space="preserve">: </w:t>
      </w:r>
      <w:proofErr w:type="spellStart"/>
      <w:r w:rsidRPr="006D7DCA">
        <w:rPr>
          <w:rFonts w:ascii="Times New Roman" w:hAnsi="Times New Roman" w:cs="Times New Roman"/>
          <w:sz w:val="22"/>
          <w:szCs w:val="22"/>
        </w:rPr>
        <w:t>some</w:t>
      </w:r>
      <w:proofErr w:type="spellEnd"/>
      <w:r w:rsidRPr="006D7DCA">
        <w:rPr>
          <w:rFonts w:ascii="Times New Roman" w:hAnsi="Times New Roman" w:cs="Times New Roman"/>
          <w:sz w:val="22"/>
          <w:szCs w:val="22"/>
        </w:rPr>
        <w:t xml:space="preserve"> </w:t>
      </w:r>
      <w:proofErr w:type="spellStart"/>
      <w:r w:rsidRPr="006D7DCA">
        <w:rPr>
          <w:rFonts w:ascii="Times New Roman" w:hAnsi="Times New Roman" w:cs="Times New Roman"/>
          <w:sz w:val="22"/>
          <w:szCs w:val="22"/>
        </w:rPr>
        <w:t>methodological</w:t>
      </w:r>
      <w:proofErr w:type="spellEnd"/>
      <w:r w:rsidRPr="006D7DCA">
        <w:rPr>
          <w:rFonts w:ascii="Times New Roman" w:hAnsi="Times New Roman" w:cs="Times New Roman"/>
          <w:sz w:val="22"/>
          <w:szCs w:val="22"/>
        </w:rPr>
        <w:t xml:space="preserve"> </w:t>
      </w:r>
      <w:proofErr w:type="spellStart"/>
      <w:r w:rsidRPr="006D7DCA">
        <w:rPr>
          <w:rFonts w:ascii="Times New Roman" w:hAnsi="Times New Roman" w:cs="Times New Roman"/>
          <w:sz w:val="22"/>
          <w:szCs w:val="22"/>
        </w:rPr>
        <w:t>considerations</w:t>
      </w:r>
      <w:proofErr w:type="spellEnd"/>
      <w:r w:rsidRPr="006D7DCA">
        <w:rPr>
          <w:rFonts w:ascii="Times New Roman" w:hAnsi="Times New Roman" w:cs="Times New Roman"/>
          <w:sz w:val="22"/>
          <w:szCs w:val="22"/>
        </w:rPr>
        <w:t xml:space="preserve">. </w:t>
      </w:r>
      <w:r w:rsidRPr="006D7DCA">
        <w:rPr>
          <w:rFonts w:ascii="Times New Roman" w:hAnsi="Times New Roman" w:cs="Times New Roman"/>
          <w:i/>
          <w:iCs/>
          <w:sz w:val="22"/>
          <w:szCs w:val="22"/>
        </w:rPr>
        <w:t xml:space="preserve">British </w:t>
      </w:r>
      <w:proofErr w:type="spellStart"/>
      <w:r w:rsidRPr="006D7DCA">
        <w:rPr>
          <w:rFonts w:ascii="Times New Roman" w:hAnsi="Times New Roman" w:cs="Times New Roman"/>
          <w:i/>
          <w:iCs/>
          <w:sz w:val="22"/>
          <w:szCs w:val="22"/>
        </w:rPr>
        <w:t>educational</w:t>
      </w:r>
      <w:proofErr w:type="spellEnd"/>
      <w:r w:rsidRPr="006D7DCA">
        <w:rPr>
          <w:rFonts w:ascii="Times New Roman" w:hAnsi="Times New Roman" w:cs="Times New Roman"/>
          <w:i/>
          <w:iCs/>
          <w:sz w:val="22"/>
          <w:szCs w:val="22"/>
        </w:rPr>
        <w:t xml:space="preserve"> </w:t>
      </w:r>
      <w:proofErr w:type="spellStart"/>
      <w:r w:rsidRPr="006D7DCA">
        <w:rPr>
          <w:rFonts w:ascii="Times New Roman" w:hAnsi="Times New Roman" w:cs="Times New Roman"/>
          <w:i/>
          <w:iCs/>
          <w:sz w:val="22"/>
          <w:szCs w:val="22"/>
        </w:rPr>
        <w:t>research</w:t>
      </w:r>
      <w:proofErr w:type="spellEnd"/>
      <w:r w:rsidRPr="006D7DCA">
        <w:rPr>
          <w:rFonts w:ascii="Times New Roman" w:hAnsi="Times New Roman" w:cs="Times New Roman"/>
          <w:i/>
          <w:iCs/>
          <w:sz w:val="22"/>
          <w:szCs w:val="22"/>
        </w:rPr>
        <w:t xml:space="preserve"> </w:t>
      </w:r>
      <w:proofErr w:type="spellStart"/>
      <w:r w:rsidRPr="006D7DCA">
        <w:rPr>
          <w:rFonts w:ascii="Times New Roman" w:hAnsi="Times New Roman" w:cs="Times New Roman"/>
          <w:i/>
          <w:iCs/>
          <w:sz w:val="22"/>
          <w:szCs w:val="22"/>
        </w:rPr>
        <w:t>journal</w:t>
      </w:r>
      <w:proofErr w:type="spellEnd"/>
      <w:r w:rsidRPr="006D7DCA">
        <w:rPr>
          <w:rFonts w:ascii="Times New Roman" w:hAnsi="Times New Roman" w:cs="Times New Roman"/>
          <w:i/>
          <w:iCs/>
          <w:sz w:val="22"/>
          <w:szCs w:val="22"/>
        </w:rPr>
        <w:t>, 33</w:t>
      </w:r>
      <w:r w:rsidRPr="006D7DCA">
        <w:rPr>
          <w:rFonts w:ascii="Times New Roman" w:hAnsi="Times New Roman" w:cs="Times New Roman"/>
          <w:sz w:val="22"/>
          <w:szCs w:val="22"/>
        </w:rPr>
        <w:t>(2), 207-219.</w:t>
      </w:r>
      <w:r w:rsidR="00AD2D2A" w:rsidRPr="006D7DCA">
        <w:t xml:space="preserve"> </w:t>
      </w:r>
      <w:hyperlink r:id="rId50" w:history="1">
        <w:r w:rsidR="00AD2D2A" w:rsidRPr="006D7DCA">
          <w:rPr>
            <w:rStyle w:val="Hipervnculo"/>
            <w:rFonts w:ascii="Times New Roman" w:hAnsi="Times New Roman" w:cs="Times New Roman"/>
            <w:color w:val="auto"/>
            <w:sz w:val="22"/>
            <w:szCs w:val="22"/>
          </w:rPr>
          <w:t>https://doi.org/10.1080/01411920701208258</w:t>
        </w:r>
      </w:hyperlink>
    </w:p>
    <w:p w14:paraId="55CAD0D1" w14:textId="493BD0FC" w:rsidR="008C46E8" w:rsidRPr="006D7DCA" w:rsidRDefault="008C46E8" w:rsidP="00181A0E">
      <w:pPr>
        <w:spacing w:before="240" w:line="360" w:lineRule="auto"/>
        <w:ind w:left="709" w:hanging="709"/>
        <w:jc w:val="both"/>
        <w:rPr>
          <w:rFonts w:ascii="Times New Roman" w:eastAsia="Calibri" w:hAnsi="Times New Roman" w:cs="Times New Roman"/>
          <w:sz w:val="22"/>
          <w:szCs w:val="22"/>
          <w:lang w:val="en-US"/>
        </w:rPr>
      </w:pPr>
      <w:r w:rsidRPr="006D7DCA">
        <w:rPr>
          <w:rFonts w:ascii="Times New Roman" w:eastAsia="Calibri" w:hAnsi="Times New Roman" w:cs="Times New Roman"/>
          <w:sz w:val="22"/>
          <w:szCs w:val="22"/>
        </w:rPr>
        <w:t xml:space="preserve">Ramón-Arbués, E., Gea-Caballero, V., Granada-López, J. M., Juárez-Vela, R., Pellicer-García, B., &amp; Antón-Solanas, I. (2020). </w:t>
      </w:r>
      <w:r w:rsidRPr="006D7DCA">
        <w:rPr>
          <w:rFonts w:ascii="Times New Roman" w:eastAsia="Calibri" w:hAnsi="Times New Roman" w:cs="Times New Roman"/>
          <w:sz w:val="22"/>
          <w:szCs w:val="22"/>
          <w:lang w:val="en-US"/>
        </w:rPr>
        <w:t>The prevalence of depression, anxiety and stress and their associated factors in college students. </w:t>
      </w:r>
      <w:r w:rsidRPr="006D7DCA">
        <w:rPr>
          <w:rFonts w:ascii="Times New Roman" w:eastAsia="Calibri" w:hAnsi="Times New Roman" w:cs="Times New Roman"/>
          <w:i/>
          <w:iCs/>
          <w:sz w:val="22"/>
          <w:szCs w:val="22"/>
          <w:lang w:val="en-US"/>
        </w:rPr>
        <w:t>International journal of environmental research and public health</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17</w:t>
      </w:r>
      <w:r w:rsidRPr="006D7DCA">
        <w:rPr>
          <w:rFonts w:ascii="Times New Roman" w:eastAsia="Calibri" w:hAnsi="Times New Roman" w:cs="Times New Roman"/>
          <w:sz w:val="22"/>
          <w:szCs w:val="22"/>
          <w:lang w:val="en-US"/>
        </w:rPr>
        <w:t>(19), 7001.</w:t>
      </w:r>
      <w:r w:rsidR="00843598" w:rsidRPr="006D7DCA">
        <w:t xml:space="preserve"> </w:t>
      </w:r>
      <w:r w:rsidR="00843598" w:rsidRPr="006D7DCA">
        <w:rPr>
          <w:rFonts w:ascii="Times New Roman" w:eastAsia="Calibri" w:hAnsi="Times New Roman" w:cs="Times New Roman"/>
          <w:sz w:val="22"/>
          <w:szCs w:val="22"/>
          <w:lang w:val="en-US"/>
        </w:rPr>
        <w:t>https://doi.org/10.3390/ijerph17197001</w:t>
      </w:r>
    </w:p>
    <w:p w14:paraId="60B9B58B" w14:textId="77777777" w:rsidR="008C46E8" w:rsidRPr="006D7DCA" w:rsidRDefault="008C46E8" w:rsidP="00181A0E">
      <w:pPr>
        <w:spacing w:before="240" w:line="360" w:lineRule="auto"/>
        <w:ind w:left="709" w:hanging="709"/>
        <w:jc w:val="both"/>
        <w:rPr>
          <w:rStyle w:val="Hipervnculo"/>
          <w:rFonts w:ascii="Times New Roman" w:hAnsi="Times New Roman" w:cs="Times New Roman"/>
          <w:color w:val="auto"/>
          <w:sz w:val="22"/>
          <w:szCs w:val="22"/>
        </w:rPr>
      </w:pPr>
      <w:r w:rsidRPr="006D7DCA">
        <w:rPr>
          <w:rFonts w:ascii="Times New Roman" w:hAnsi="Times New Roman" w:cs="Times New Roman"/>
          <w:sz w:val="22"/>
          <w:szCs w:val="22"/>
        </w:rPr>
        <w:t>Reyes, N. &amp; Trujillo, P. (2021). Ansiedad, estrés e ira: El impacto del COVID-19 en la salud mental de estudiantes universitarios.</w:t>
      </w:r>
      <w:r w:rsidRPr="006D7DCA">
        <w:rPr>
          <w:rFonts w:ascii="Times New Roman" w:hAnsi="Times New Roman" w:cs="Times New Roman"/>
          <w:i/>
          <w:iCs/>
          <w:sz w:val="22"/>
          <w:szCs w:val="22"/>
        </w:rPr>
        <w:t xml:space="preserve"> Revista Investigación y Desarrollo I+D</w:t>
      </w:r>
      <w:r w:rsidRPr="006D7DCA">
        <w:rPr>
          <w:rFonts w:ascii="Times New Roman" w:hAnsi="Times New Roman" w:cs="Times New Roman"/>
          <w:sz w:val="22"/>
          <w:szCs w:val="22"/>
        </w:rPr>
        <w:t xml:space="preserve">, </w:t>
      </w:r>
      <w:r w:rsidRPr="006D7DCA">
        <w:rPr>
          <w:rFonts w:ascii="Times New Roman" w:hAnsi="Times New Roman" w:cs="Times New Roman"/>
          <w:i/>
          <w:iCs/>
          <w:sz w:val="22"/>
          <w:szCs w:val="22"/>
        </w:rPr>
        <w:t>13</w:t>
      </w:r>
      <w:r w:rsidRPr="006D7DCA">
        <w:rPr>
          <w:rFonts w:ascii="Times New Roman" w:hAnsi="Times New Roman" w:cs="Times New Roman"/>
          <w:sz w:val="22"/>
          <w:szCs w:val="22"/>
        </w:rPr>
        <w:t xml:space="preserve">, 6-14. </w:t>
      </w:r>
      <w:hyperlink r:id="rId51" w:history="1">
        <w:r w:rsidRPr="006D7DCA">
          <w:rPr>
            <w:rStyle w:val="Hipervnculo"/>
            <w:rFonts w:ascii="Times New Roman" w:hAnsi="Times New Roman" w:cs="Times New Roman"/>
            <w:color w:val="auto"/>
            <w:sz w:val="22"/>
            <w:szCs w:val="22"/>
          </w:rPr>
          <w:t>https://doi.org/10.31243/id.v13.2020.999</w:t>
        </w:r>
      </w:hyperlink>
    </w:p>
    <w:p w14:paraId="4F768A9C" w14:textId="77777777" w:rsidR="008C46E8" w:rsidRPr="006D7DCA" w:rsidRDefault="008C46E8" w:rsidP="00181A0E">
      <w:pPr>
        <w:spacing w:before="240" w:line="360" w:lineRule="auto"/>
        <w:ind w:left="709" w:hanging="709"/>
        <w:jc w:val="both"/>
        <w:rPr>
          <w:rFonts w:ascii="Times New Roman" w:hAnsi="Times New Roman" w:cs="Times New Roman"/>
          <w:sz w:val="22"/>
          <w:szCs w:val="22"/>
          <w:u w:val="single"/>
          <w:lang w:val="en-US"/>
        </w:rPr>
      </w:pPr>
      <w:r w:rsidRPr="006D7DCA">
        <w:rPr>
          <w:rFonts w:ascii="Times New Roman" w:eastAsia="Calibri" w:hAnsi="Times New Roman" w:cs="Times New Roman"/>
          <w:sz w:val="22"/>
          <w:szCs w:val="22"/>
          <w:lang w:val="en-US"/>
        </w:rPr>
        <w:t xml:space="preserve">Rith-Najarian, L. R., Boustani, M. M., &amp; </w:t>
      </w:r>
      <w:proofErr w:type="spellStart"/>
      <w:r w:rsidRPr="006D7DCA">
        <w:rPr>
          <w:rFonts w:ascii="Times New Roman" w:eastAsia="Calibri" w:hAnsi="Times New Roman" w:cs="Times New Roman"/>
          <w:sz w:val="22"/>
          <w:szCs w:val="22"/>
          <w:lang w:val="en-US"/>
        </w:rPr>
        <w:t>Chorpita</w:t>
      </w:r>
      <w:proofErr w:type="spellEnd"/>
      <w:r w:rsidRPr="006D7DCA">
        <w:rPr>
          <w:rFonts w:ascii="Times New Roman" w:eastAsia="Calibri" w:hAnsi="Times New Roman" w:cs="Times New Roman"/>
          <w:sz w:val="22"/>
          <w:szCs w:val="22"/>
          <w:lang w:val="en-US"/>
        </w:rPr>
        <w:t xml:space="preserve">, B. F. (2019). A systematic review of prevention programs targeting depression, anxiety, and stress in university students. </w:t>
      </w:r>
      <w:r w:rsidRPr="006D7DCA">
        <w:rPr>
          <w:rFonts w:ascii="Times New Roman" w:eastAsia="Calibri" w:hAnsi="Times New Roman" w:cs="Times New Roman"/>
          <w:i/>
          <w:iCs/>
          <w:sz w:val="22"/>
          <w:szCs w:val="22"/>
          <w:lang w:val="en-US"/>
        </w:rPr>
        <w:t>Journal of affective disorders, 257</w:t>
      </w:r>
      <w:r w:rsidRPr="006D7DCA">
        <w:rPr>
          <w:rFonts w:ascii="Times New Roman" w:eastAsia="Calibri" w:hAnsi="Times New Roman" w:cs="Times New Roman"/>
          <w:sz w:val="22"/>
          <w:szCs w:val="22"/>
          <w:lang w:val="en-US"/>
        </w:rPr>
        <w:t xml:space="preserve">, 568–584. </w:t>
      </w:r>
      <w:hyperlink r:id="rId52" w:history="1">
        <w:r w:rsidRPr="006D7DCA">
          <w:rPr>
            <w:rFonts w:ascii="Times New Roman" w:eastAsia="Calibri" w:hAnsi="Times New Roman" w:cs="Times New Roman"/>
            <w:sz w:val="22"/>
            <w:szCs w:val="22"/>
            <w:u w:val="single"/>
            <w:lang w:val="en-US"/>
          </w:rPr>
          <w:t>https://doi.org/10.1016/j.jad.2019.06.035</w:t>
        </w:r>
      </w:hyperlink>
      <w:r w:rsidRPr="006D7DCA">
        <w:rPr>
          <w:rFonts w:ascii="Times New Roman" w:eastAsia="Calibri" w:hAnsi="Times New Roman" w:cs="Times New Roman"/>
          <w:sz w:val="22"/>
          <w:szCs w:val="22"/>
          <w:lang w:val="en-US"/>
        </w:rPr>
        <w:t xml:space="preserve"> </w:t>
      </w:r>
    </w:p>
    <w:p w14:paraId="11B058D8"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lang w:val="en-US"/>
        </w:rPr>
        <w:t xml:space="preserve">Rodríguez, O. &amp; Estrada, L. (2021). </w:t>
      </w:r>
      <w:r w:rsidRPr="006D7DCA">
        <w:rPr>
          <w:rFonts w:ascii="Times New Roman" w:hAnsi="Times New Roman" w:cs="Times New Roman"/>
          <w:sz w:val="22"/>
          <w:szCs w:val="22"/>
        </w:rPr>
        <w:t xml:space="preserve">Pantallas en tiempos de pandemia: efectos bio-psico-sociales en niñas, niños y adolescentes. </w:t>
      </w:r>
      <w:r w:rsidRPr="006D7DCA">
        <w:rPr>
          <w:rFonts w:ascii="Times New Roman" w:hAnsi="Times New Roman" w:cs="Times New Roman"/>
          <w:i/>
          <w:iCs/>
          <w:sz w:val="22"/>
          <w:szCs w:val="22"/>
        </w:rPr>
        <w:t>Sociedad, 42</w:t>
      </w:r>
      <w:r w:rsidRPr="006D7DCA">
        <w:rPr>
          <w:rFonts w:ascii="Times New Roman" w:hAnsi="Times New Roman" w:cs="Times New Roman"/>
          <w:sz w:val="22"/>
          <w:szCs w:val="22"/>
        </w:rPr>
        <w:t xml:space="preserve">, 15-29. </w:t>
      </w:r>
    </w:p>
    <w:p w14:paraId="354D059A" w14:textId="1FF3107A"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eastAsia="Calibri" w:hAnsi="Times New Roman" w:cs="Times New Roman"/>
          <w:sz w:val="22"/>
          <w:szCs w:val="22"/>
        </w:rPr>
        <w:t>Rodríguez-Ayllon, M., Cadenas-Sánchez, C., Estévez-López, F., Muñoz, N. E., Mora-</w:t>
      </w:r>
      <w:proofErr w:type="spellStart"/>
      <w:r w:rsidRPr="006D7DCA">
        <w:rPr>
          <w:rFonts w:ascii="Times New Roman" w:eastAsia="Calibri" w:hAnsi="Times New Roman" w:cs="Times New Roman"/>
          <w:sz w:val="22"/>
          <w:szCs w:val="22"/>
        </w:rPr>
        <w:t>Gonzalez</w:t>
      </w:r>
      <w:proofErr w:type="spellEnd"/>
      <w:r w:rsidRPr="006D7DCA">
        <w:rPr>
          <w:rFonts w:ascii="Times New Roman" w:eastAsia="Calibri" w:hAnsi="Times New Roman" w:cs="Times New Roman"/>
          <w:sz w:val="22"/>
          <w:szCs w:val="22"/>
        </w:rPr>
        <w:t xml:space="preserve">, J., Migueles, J. H., ... </w:t>
      </w:r>
      <w:r w:rsidRPr="006D7DCA">
        <w:rPr>
          <w:rFonts w:ascii="Times New Roman" w:eastAsia="Calibri" w:hAnsi="Times New Roman" w:cs="Times New Roman"/>
          <w:sz w:val="22"/>
          <w:szCs w:val="22"/>
          <w:lang w:val="en-US"/>
        </w:rPr>
        <w:t>&amp; Esteban-Cornejo, I. (2019). Role of physical activity and sedentary behavior in the mental health of preschoolers, children and adolescents: a systematic review and meta-analysis. </w:t>
      </w:r>
      <w:r w:rsidRPr="006D7DCA">
        <w:rPr>
          <w:rFonts w:ascii="Times New Roman" w:eastAsia="Calibri" w:hAnsi="Times New Roman" w:cs="Times New Roman"/>
          <w:i/>
          <w:iCs/>
          <w:sz w:val="22"/>
          <w:szCs w:val="22"/>
        </w:rPr>
        <w:t>Sports medicine</w:t>
      </w:r>
      <w:r w:rsidRPr="006D7DCA">
        <w:rPr>
          <w:rFonts w:ascii="Times New Roman" w:eastAsia="Calibri" w:hAnsi="Times New Roman" w:cs="Times New Roman"/>
          <w:sz w:val="22"/>
          <w:szCs w:val="22"/>
        </w:rPr>
        <w:t>, </w:t>
      </w:r>
      <w:r w:rsidRPr="006D7DCA">
        <w:rPr>
          <w:rFonts w:ascii="Times New Roman" w:eastAsia="Calibri" w:hAnsi="Times New Roman" w:cs="Times New Roman"/>
          <w:i/>
          <w:iCs/>
          <w:sz w:val="22"/>
          <w:szCs w:val="22"/>
        </w:rPr>
        <w:t>49</w:t>
      </w:r>
      <w:r w:rsidRPr="006D7DCA">
        <w:rPr>
          <w:rFonts w:ascii="Times New Roman" w:eastAsia="Calibri" w:hAnsi="Times New Roman" w:cs="Times New Roman"/>
          <w:sz w:val="22"/>
          <w:szCs w:val="22"/>
        </w:rPr>
        <w:t>(9), 1383-1410.</w:t>
      </w:r>
      <w:r w:rsidR="00A94EF3" w:rsidRPr="006D7DCA">
        <w:rPr>
          <w:rFonts w:ascii="Merriweather Sans" w:hAnsi="Merriweather Sans"/>
          <w:shd w:val="clear" w:color="auto" w:fill="FFFFFF"/>
        </w:rPr>
        <w:t xml:space="preserve"> </w:t>
      </w:r>
      <w:r w:rsidR="00A94EF3" w:rsidRPr="006D7DCA">
        <w:rPr>
          <w:rFonts w:ascii="Times New Roman" w:eastAsia="Calibri" w:hAnsi="Times New Roman" w:cs="Times New Roman"/>
          <w:sz w:val="22"/>
          <w:szCs w:val="22"/>
        </w:rPr>
        <w:t>https://doi.org/10.1007/s40279-019-01099-5</w:t>
      </w:r>
    </w:p>
    <w:p w14:paraId="66DCA216" w14:textId="4365BC1B"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rPr>
        <w:t xml:space="preserve">Rodríguez-Muñoz, S., Corella, C., Abarca-Sos, A., &amp; Zaragoza, J. (2017). </w:t>
      </w:r>
      <w:r w:rsidRPr="006D7DCA">
        <w:rPr>
          <w:rFonts w:ascii="Times New Roman" w:hAnsi="Times New Roman" w:cs="Times New Roman"/>
          <w:sz w:val="22"/>
          <w:szCs w:val="22"/>
          <w:lang w:val="en-US"/>
        </w:rPr>
        <w:t>Validation of three short physical activity questionnaires with accelerometers among university students in Spain. </w:t>
      </w:r>
      <w:r w:rsidRPr="006D7DCA">
        <w:rPr>
          <w:rFonts w:ascii="Times New Roman" w:hAnsi="Times New Roman" w:cs="Times New Roman"/>
          <w:i/>
          <w:iCs/>
          <w:sz w:val="22"/>
          <w:szCs w:val="22"/>
          <w:lang w:val="en-US"/>
        </w:rPr>
        <w:t>The Journal of Sports Medicine and Physical Fitness</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57</w:t>
      </w:r>
      <w:r w:rsidRPr="006D7DCA">
        <w:rPr>
          <w:rFonts w:ascii="Times New Roman" w:hAnsi="Times New Roman" w:cs="Times New Roman"/>
          <w:sz w:val="22"/>
          <w:szCs w:val="22"/>
          <w:lang w:val="en-US"/>
        </w:rPr>
        <w:t>(12), 1660-1668.</w:t>
      </w:r>
      <w:r w:rsidR="00A94EF3" w:rsidRPr="006D7DCA">
        <w:t xml:space="preserve"> </w:t>
      </w:r>
      <w:hyperlink r:id="rId53" w:history="1">
        <w:r w:rsidR="00A94EF3" w:rsidRPr="006D7DCA">
          <w:rPr>
            <w:rStyle w:val="Hipervnculo"/>
            <w:rFonts w:ascii="Times New Roman" w:hAnsi="Times New Roman" w:cs="Times New Roman"/>
            <w:color w:val="auto"/>
            <w:sz w:val="22"/>
            <w:szCs w:val="22"/>
          </w:rPr>
          <w:t>https://doi.org/10.23736/s0022-4707.17.06665-8</w:t>
        </w:r>
      </w:hyperlink>
      <w:r w:rsidR="00A94EF3" w:rsidRPr="006D7DCA">
        <w:rPr>
          <w:rFonts w:ascii="Times New Roman" w:hAnsi="Times New Roman" w:cs="Times New Roman"/>
          <w:sz w:val="22"/>
          <w:szCs w:val="22"/>
        </w:rPr>
        <w:t> </w:t>
      </w:r>
    </w:p>
    <w:p w14:paraId="39430839"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lang w:val="en-US"/>
        </w:rPr>
        <w:t xml:space="preserve">Royuela, A., &amp; Macías, J. (1997). </w:t>
      </w:r>
      <w:r w:rsidRPr="006D7DCA">
        <w:rPr>
          <w:rFonts w:ascii="Times New Roman" w:hAnsi="Times New Roman" w:cs="Times New Roman"/>
          <w:sz w:val="22"/>
          <w:szCs w:val="22"/>
        </w:rPr>
        <w:t xml:space="preserve">Propiedades </w:t>
      </w:r>
      <w:proofErr w:type="spellStart"/>
      <w:r w:rsidRPr="006D7DCA">
        <w:rPr>
          <w:rFonts w:ascii="Times New Roman" w:hAnsi="Times New Roman" w:cs="Times New Roman"/>
          <w:sz w:val="22"/>
          <w:szCs w:val="22"/>
        </w:rPr>
        <w:t>clinimétricas</w:t>
      </w:r>
      <w:proofErr w:type="spellEnd"/>
      <w:r w:rsidRPr="006D7DCA">
        <w:rPr>
          <w:rFonts w:ascii="Times New Roman" w:hAnsi="Times New Roman" w:cs="Times New Roman"/>
          <w:sz w:val="22"/>
          <w:szCs w:val="22"/>
        </w:rPr>
        <w:t xml:space="preserve"> de la versión castellana del cuestionario de Pittsburg. </w:t>
      </w:r>
      <w:r w:rsidRPr="006D7DCA">
        <w:rPr>
          <w:rFonts w:ascii="Times New Roman" w:hAnsi="Times New Roman" w:cs="Times New Roman"/>
          <w:i/>
          <w:iCs/>
          <w:sz w:val="22"/>
          <w:szCs w:val="22"/>
        </w:rPr>
        <w:t>Vigilia-Sueño</w:t>
      </w:r>
      <w:r w:rsidRPr="006D7DCA">
        <w:rPr>
          <w:rFonts w:ascii="Times New Roman" w:hAnsi="Times New Roman" w:cs="Times New Roman"/>
          <w:sz w:val="22"/>
          <w:szCs w:val="22"/>
        </w:rPr>
        <w:t>, </w:t>
      </w:r>
      <w:r w:rsidRPr="006D7DCA">
        <w:rPr>
          <w:rFonts w:ascii="Times New Roman" w:hAnsi="Times New Roman" w:cs="Times New Roman"/>
          <w:i/>
          <w:iCs/>
          <w:sz w:val="22"/>
          <w:szCs w:val="22"/>
        </w:rPr>
        <w:t>9</w:t>
      </w:r>
      <w:r w:rsidRPr="006D7DCA">
        <w:rPr>
          <w:rFonts w:ascii="Times New Roman" w:hAnsi="Times New Roman" w:cs="Times New Roman"/>
          <w:sz w:val="22"/>
          <w:szCs w:val="22"/>
        </w:rPr>
        <w:t>(2), 81-94.</w:t>
      </w:r>
    </w:p>
    <w:p w14:paraId="5B9F5191" w14:textId="77777777" w:rsidR="008C46E8" w:rsidRPr="006D7DCA" w:rsidRDefault="008C46E8" w:rsidP="00181A0E">
      <w:pPr>
        <w:spacing w:before="240" w:line="360" w:lineRule="auto"/>
        <w:ind w:left="709" w:hanging="709"/>
        <w:jc w:val="both"/>
        <w:rPr>
          <w:rFonts w:ascii="Times New Roman" w:hAnsi="Times New Roman" w:cs="Times New Roman"/>
          <w:sz w:val="22"/>
          <w:szCs w:val="22"/>
        </w:rPr>
      </w:pPr>
      <w:proofErr w:type="spellStart"/>
      <w:r w:rsidRPr="006D7DCA">
        <w:rPr>
          <w:rFonts w:ascii="Times New Roman" w:hAnsi="Times New Roman" w:cs="Times New Roman"/>
          <w:sz w:val="22"/>
          <w:szCs w:val="22"/>
        </w:rPr>
        <w:t>Salanova</w:t>
      </w:r>
      <w:proofErr w:type="spellEnd"/>
      <w:r w:rsidRPr="006D7DCA">
        <w:rPr>
          <w:rFonts w:ascii="Times New Roman" w:hAnsi="Times New Roman" w:cs="Times New Roman"/>
          <w:sz w:val="22"/>
          <w:szCs w:val="22"/>
        </w:rPr>
        <w:t xml:space="preserve">, M., Martínez, I., </w:t>
      </w:r>
      <w:proofErr w:type="spellStart"/>
      <w:r w:rsidRPr="006D7DCA">
        <w:rPr>
          <w:rFonts w:ascii="Times New Roman" w:hAnsi="Times New Roman" w:cs="Times New Roman"/>
          <w:sz w:val="22"/>
          <w:szCs w:val="22"/>
        </w:rPr>
        <w:t>Bresó</w:t>
      </w:r>
      <w:proofErr w:type="spellEnd"/>
      <w:r w:rsidRPr="006D7DCA">
        <w:rPr>
          <w:rFonts w:ascii="Times New Roman" w:hAnsi="Times New Roman" w:cs="Times New Roman"/>
          <w:sz w:val="22"/>
          <w:szCs w:val="22"/>
        </w:rPr>
        <w:t xml:space="preserve">, E., Llorens, S. &amp; Grau, R. (2005). Bienestar psicológico en estudiantes universitarios: Facilitadores y obstaculizadores del desempeño académico. </w:t>
      </w:r>
      <w:r w:rsidRPr="006D7DCA">
        <w:rPr>
          <w:rFonts w:ascii="Times New Roman" w:hAnsi="Times New Roman" w:cs="Times New Roman"/>
          <w:i/>
          <w:iCs/>
          <w:sz w:val="22"/>
          <w:szCs w:val="22"/>
        </w:rPr>
        <w:t>Anales de Psicología</w:t>
      </w:r>
      <w:r w:rsidRPr="006D7DCA">
        <w:rPr>
          <w:rFonts w:ascii="Times New Roman" w:hAnsi="Times New Roman" w:cs="Times New Roman"/>
          <w:sz w:val="22"/>
          <w:szCs w:val="22"/>
        </w:rPr>
        <w:t>, 21(1), 170-180.</w:t>
      </w:r>
    </w:p>
    <w:p w14:paraId="0A08FFDF" w14:textId="77777777" w:rsidR="008C46E8" w:rsidRPr="006D7DCA" w:rsidRDefault="008C46E8" w:rsidP="00181A0E">
      <w:pPr>
        <w:spacing w:before="240" w:line="360" w:lineRule="auto"/>
        <w:ind w:left="709" w:hanging="709"/>
        <w:jc w:val="both"/>
        <w:rPr>
          <w:rFonts w:ascii="Times New Roman" w:eastAsia="Calibri" w:hAnsi="Times New Roman" w:cs="Times New Roman"/>
          <w:sz w:val="22"/>
          <w:szCs w:val="22"/>
          <w:u w:val="single"/>
        </w:rPr>
      </w:pPr>
      <w:r w:rsidRPr="006D7DCA">
        <w:rPr>
          <w:rFonts w:ascii="Times New Roman" w:eastAsia="Calibri" w:hAnsi="Times New Roman" w:cs="Times New Roman"/>
          <w:sz w:val="22"/>
          <w:szCs w:val="22"/>
        </w:rPr>
        <w:t xml:space="preserve">Saleem, M. S., Isha, A. S. N., Awan, M. I., Yusop, Y. B., &amp; Naji, G. M. A. (2022). </w:t>
      </w:r>
      <w:r w:rsidRPr="006D7DCA">
        <w:rPr>
          <w:rFonts w:ascii="Times New Roman" w:eastAsia="Calibri" w:hAnsi="Times New Roman" w:cs="Times New Roman"/>
          <w:sz w:val="22"/>
          <w:szCs w:val="22"/>
          <w:lang w:val="en-US"/>
        </w:rPr>
        <w:t xml:space="preserve">Fostering Academic Engagement in Post-graduate Students: Assessing the Role of Positive Emotions, Positive Psychology, and Stress. </w:t>
      </w:r>
      <w:proofErr w:type="spellStart"/>
      <w:r w:rsidRPr="006D7DCA">
        <w:rPr>
          <w:rFonts w:ascii="Times New Roman" w:eastAsia="Calibri" w:hAnsi="Times New Roman" w:cs="Times New Roman"/>
          <w:i/>
          <w:iCs/>
          <w:sz w:val="22"/>
          <w:szCs w:val="22"/>
        </w:rPr>
        <w:t>Frontiers</w:t>
      </w:r>
      <w:proofErr w:type="spellEnd"/>
      <w:r w:rsidRPr="006D7DCA">
        <w:rPr>
          <w:rFonts w:ascii="Times New Roman" w:eastAsia="Calibri" w:hAnsi="Times New Roman" w:cs="Times New Roman"/>
          <w:i/>
          <w:iCs/>
          <w:sz w:val="22"/>
          <w:szCs w:val="22"/>
        </w:rPr>
        <w:t xml:space="preserve"> in </w:t>
      </w:r>
      <w:proofErr w:type="spellStart"/>
      <w:r w:rsidRPr="006D7DCA">
        <w:rPr>
          <w:rFonts w:ascii="Times New Roman" w:eastAsia="Calibri" w:hAnsi="Times New Roman" w:cs="Times New Roman"/>
          <w:i/>
          <w:iCs/>
          <w:sz w:val="22"/>
          <w:szCs w:val="22"/>
        </w:rPr>
        <w:t>psychology</w:t>
      </w:r>
      <w:proofErr w:type="spellEnd"/>
      <w:r w:rsidRPr="006D7DCA">
        <w:rPr>
          <w:rFonts w:ascii="Times New Roman" w:eastAsia="Calibri" w:hAnsi="Times New Roman" w:cs="Times New Roman"/>
          <w:i/>
          <w:iCs/>
          <w:sz w:val="22"/>
          <w:szCs w:val="22"/>
        </w:rPr>
        <w:t>, 13</w:t>
      </w:r>
      <w:r w:rsidRPr="006D7DCA">
        <w:rPr>
          <w:rFonts w:ascii="Times New Roman" w:eastAsia="Calibri" w:hAnsi="Times New Roman" w:cs="Times New Roman"/>
          <w:sz w:val="22"/>
          <w:szCs w:val="22"/>
        </w:rPr>
        <w:t xml:space="preserve">, 920395. </w:t>
      </w:r>
      <w:hyperlink r:id="rId54" w:history="1">
        <w:r w:rsidRPr="006D7DCA">
          <w:rPr>
            <w:rFonts w:ascii="Times New Roman" w:eastAsia="Calibri" w:hAnsi="Times New Roman" w:cs="Times New Roman"/>
            <w:sz w:val="22"/>
            <w:szCs w:val="22"/>
            <w:u w:val="single"/>
          </w:rPr>
          <w:t>https://doi.org/10.3389/fpsyg.2022.920395</w:t>
        </w:r>
      </w:hyperlink>
    </w:p>
    <w:p w14:paraId="164CB979" w14:textId="77777777" w:rsidR="008C46E8" w:rsidRPr="006D7DCA" w:rsidRDefault="008C46E8" w:rsidP="00181A0E">
      <w:pPr>
        <w:spacing w:before="240" w:line="360" w:lineRule="auto"/>
        <w:ind w:left="709" w:hanging="709"/>
        <w:jc w:val="both"/>
        <w:rPr>
          <w:rStyle w:val="Hipervnculo"/>
          <w:rFonts w:ascii="Times New Roman" w:hAnsi="Times New Roman" w:cs="Times New Roman"/>
          <w:color w:val="auto"/>
          <w:sz w:val="22"/>
          <w:szCs w:val="22"/>
        </w:rPr>
      </w:pPr>
      <w:r w:rsidRPr="006D7DCA">
        <w:rPr>
          <w:rFonts w:ascii="Times New Roman" w:hAnsi="Times New Roman" w:cs="Times New Roman"/>
          <w:sz w:val="22"/>
          <w:szCs w:val="22"/>
        </w:rPr>
        <w:t>Sánchez-Ojeda, M.A. &amp; De Luna-</w:t>
      </w:r>
      <w:proofErr w:type="spellStart"/>
      <w:r w:rsidRPr="006D7DCA">
        <w:rPr>
          <w:rFonts w:ascii="Times New Roman" w:hAnsi="Times New Roman" w:cs="Times New Roman"/>
          <w:sz w:val="22"/>
          <w:szCs w:val="22"/>
        </w:rPr>
        <w:t>Bertos</w:t>
      </w:r>
      <w:proofErr w:type="spellEnd"/>
      <w:r w:rsidRPr="006D7DCA">
        <w:rPr>
          <w:rFonts w:ascii="Times New Roman" w:hAnsi="Times New Roman" w:cs="Times New Roman"/>
          <w:sz w:val="22"/>
          <w:szCs w:val="22"/>
        </w:rPr>
        <w:t xml:space="preserve">, E. (2015). Hábitos de vida saludable en la población universitaria. </w:t>
      </w:r>
      <w:r w:rsidRPr="006D7DCA">
        <w:rPr>
          <w:rFonts w:ascii="Times New Roman" w:hAnsi="Times New Roman" w:cs="Times New Roman"/>
          <w:i/>
          <w:iCs/>
          <w:sz w:val="22"/>
          <w:szCs w:val="22"/>
        </w:rPr>
        <w:t>Nutrición Hospitalaria</w:t>
      </w:r>
      <w:r w:rsidRPr="006D7DCA">
        <w:rPr>
          <w:rFonts w:ascii="Times New Roman" w:hAnsi="Times New Roman" w:cs="Times New Roman"/>
          <w:sz w:val="22"/>
          <w:szCs w:val="22"/>
        </w:rPr>
        <w:t xml:space="preserve">, </w:t>
      </w:r>
      <w:r w:rsidRPr="006D7DCA">
        <w:rPr>
          <w:rFonts w:ascii="Times New Roman" w:hAnsi="Times New Roman" w:cs="Times New Roman"/>
          <w:i/>
          <w:iCs/>
          <w:sz w:val="22"/>
          <w:szCs w:val="22"/>
        </w:rPr>
        <w:t>31</w:t>
      </w:r>
      <w:r w:rsidRPr="006D7DCA">
        <w:rPr>
          <w:rFonts w:ascii="Times New Roman" w:hAnsi="Times New Roman" w:cs="Times New Roman"/>
          <w:sz w:val="22"/>
          <w:szCs w:val="22"/>
        </w:rPr>
        <w:t xml:space="preserve">(5), 1910-1919. </w:t>
      </w:r>
      <w:hyperlink r:id="rId55" w:history="1">
        <w:r w:rsidRPr="006D7DCA">
          <w:rPr>
            <w:rStyle w:val="Hipervnculo"/>
            <w:rFonts w:ascii="Times New Roman" w:hAnsi="Times New Roman" w:cs="Times New Roman"/>
            <w:color w:val="auto"/>
            <w:sz w:val="22"/>
            <w:szCs w:val="22"/>
          </w:rPr>
          <w:t>https://dx.doi.org/10.3305/nh.2015.31.5.8608</w:t>
        </w:r>
      </w:hyperlink>
    </w:p>
    <w:p w14:paraId="187417EC" w14:textId="77777777" w:rsidR="008C46E8" w:rsidRPr="006D7DCA" w:rsidRDefault="008C46E8" w:rsidP="00181A0E">
      <w:pPr>
        <w:spacing w:before="240" w:line="360" w:lineRule="auto"/>
        <w:ind w:left="709" w:hanging="709"/>
        <w:jc w:val="both"/>
        <w:rPr>
          <w:rFonts w:ascii="Times New Roman" w:hAnsi="Times New Roman" w:cs="Times New Roman"/>
          <w:sz w:val="22"/>
          <w:szCs w:val="22"/>
          <w:shd w:val="clear" w:color="auto" w:fill="FFFFFF"/>
          <w:lang w:val="en-US"/>
        </w:rPr>
      </w:pPr>
      <w:r w:rsidRPr="006D7DCA">
        <w:rPr>
          <w:rFonts w:ascii="Times New Roman" w:hAnsi="Times New Roman" w:cs="Times New Roman"/>
          <w:sz w:val="22"/>
          <w:szCs w:val="22"/>
          <w:shd w:val="clear" w:color="auto" w:fill="FFFFFF"/>
        </w:rPr>
        <w:t xml:space="preserve">Schaufeli, W. B., </w:t>
      </w:r>
      <w:proofErr w:type="spellStart"/>
      <w:r w:rsidRPr="006D7DCA">
        <w:rPr>
          <w:rFonts w:ascii="Times New Roman" w:hAnsi="Times New Roman" w:cs="Times New Roman"/>
          <w:sz w:val="22"/>
          <w:szCs w:val="22"/>
          <w:shd w:val="clear" w:color="auto" w:fill="FFFFFF"/>
        </w:rPr>
        <w:t>Martinez</w:t>
      </w:r>
      <w:proofErr w:type="spellEnd"/>
      <w:r w:rsidRPr="006D7DCA">
        <w:rPr>
          <w:rFonts w:ascii="Times New Roman" w:hAnsi="Times New Roman" w:cs="Times New Roman"/>
          <w:sz w:val="22"/>
          <w:szCs w:val="22"/>
          <w:shd w:val="clear" w:color="auto" w:fill="FFFFFF"/>
        </w:rPr>
        <w:t xml:space="preserve">, I. M., Pinto, A. M., </w:t>
      </w:r>
      <w:proofErr w:type="spellStart"/>
      <w:r w:rsidRPr="006D7DCA">
        <w:rPr>
          <w:rFonts w:ascii="Times New Roman" w:hAnsi="Times New Roman" w:cs="Times New Roman"/>
          <w:sz w:val="22"/>
          <w:szCs w:val="22"/>
          <w:shd w:val="clear" w:color="auto" w:fill="FFFFFF"/>
        </w:rPr>
        <w:t>Salanova</w:t>
      </w:r>
      <w:proofErr w:type="spellEnd"/>
      <w:r w:rsidRPr="006D7DCA">
        <w:rPr>
          <w:rFonts w:ascii="Times New Roman" w:hAnsi="Times New Roman" w:cs="Times New Roman"/>
          <w:sz w:val="22"/>
          <w:szCs w:val="22"/>
          <w:shd w:val="clear" w:color="auto" w:fill="FFFFFF"/>
        </w:rPr>
        <w:t xml:space="preserve">, M., &amp; Bakker, A. B. (2002). </w:t>
      </w:r>
      <w:r w:rsidRPr="006D7DCA">
        <w:rPr>
          <w:rFonts w:ascii="Times New Roman" w:hAnsi="Times New Roman" w:cs="Times New Roman"/>
          <w:sz w:val="22"/>
          <w:szCs w:val="22"/>
          <w:shd w:val="clear" w:color="auto" w:fill="FFFFFF"/>
          <w:lang w:val="en-US"/>
        </w:rPr>
        <w:t>Burnout and engagement in university students: A cross-national study. </w:t>
      </w:r>
      <w:r w:rsidRPr="006D7DCA">
        <w:rPr>
          <w:rFonts w:ascii="Times New Roman" w:hAnsi="Times New Roman" w:cs="Times New Roman"/>
          <w:i/>
          <w:iCs/>
          <w:sz w:val="22"/>
          <w:szCs w:val="22"/>
          <w:shd w:val="clear" w:color="auto" w:fill="FFFFFF"/>
          <w:lang w:val="en-US"/>
        </w:rPr>
        <w:t>Journal of cross-cultural psychology</w:t>
      </w:r>
      <w:r w:rsidRPr="006D7DCA">
        <w:rPr>
          <w:rFonts w:ascii="Times New Roman" w:hAnsi="Times New Roman" w:cs="Times New Roman"/>
          <w:sz w:val="22"/>
          <w:szCs w:val="22"/>
          <w:shd w:val="clear" w:color="auto" w:fill="FFFFFF"/>
          <w:lang w:val="en-US"/>
        </w:rPr>
        <w:t>, </w:t>
      </w:r>
      <w:r w:rsidRPr="006D7DCA">
        <w:rPr>
          <w:rFonts w:ascii="Times New Roman" w:hAnsi="Times New Roman" w:cs="Times New Roman"/>
          <w:i/>
          <w:iCs/>
          <w:sz w:val="22"/>
          <w:szCs w:val="22"/>
          <w:shd w:val="clear" w:color="auto" w:fill="FFFFFF"/>
          <w:lang w:val="en-US"/>
        </w:rPr>
        <w:t>33</w:t>
      </w:r>
      <w:r w:rsidRPr="006D7DCA">
        <w:rPr>
          <w:rFonts w:ascii="Times New Roman" w:hAnsi="Times New Roman" w:cs="Times New Roman"/>
          <w:sz w:val="22"/>
          <w:szCs w:val="22"/>
          <w:shd w:val="clear" w:color="auto" w:fill="FFFFFF"/>
          <w:lang w:val="en-US"/>
        </w:rPr>
        <w:t>(5), 464-481.</w:t>
      </w:r>
    </w:p>
    <w:p w14:paraId="1D2FAC0E" w14:textId="77777777" w:rsidR="00A94EF3" w:rsidRPr="006D7DCA" w:rsidRDefault="00A94EF3" w:rsidP="00181A0E">
      <w:pPr>
        <w:spacing w:before="240" w:line="360" w:lineRule="auto"/>
        <w:ind w:left="709" w:hanging="709"/>
        <w:jc w:val="both"/>
        <w:rPr>
          <w:rFonts w:ascii="Times New Roman" w:hAnsi="Times New Roman" w:cs="Times New Roman"/>
          <w:sz w:val="22"/>
          <w:szCs w:val="22"/>
          <w:lang w:val="en-US"/>
        </w:rPr>
      </w:pPr>
      <w:proofErr w:type="spellStart"/>
      <w:r w:rsidRPr="006D7DCA">
        <w:rPr>
          <w:rFonts w:ascii="Times New Roman" w:hAnsi="Times New Roman" w:cs="Times New Roman"/>
          <w:sz w:val="22"/>
          <w:szCs w:val="22"/>
        </w:rPr>
        <w:t>Schouwenburg</w:t>
      </w:r>
      <w:proofErr w:type="spellEnd"/>
      <w:r w:rsidRPr="006D7DCA">
        <w:rPr>
          <w:rFonts w:ascii="Times New Roman" w:hAnsi="Times New Roman" w:cs="Times New Roman"/>
          <w:sz w:val="22"/>
          <w:szCs w:val="22"/>
        </w:rPr>
        <w:t xml:space="preserve">, H. C. (2004). </w:t>
      </w:r>
      <w:proofErr w:type="spellStart"/>
      <w:r w:rsidRPr="006D7DCA">
        <w:rPr>
          <w:rFonts w:ascii="Times New Roman" w:hAnsi="Times New Roman" w:cs="Times New Roman"/>
          <w:sz w:val="22"/>
          <w:szCs w:val="22"/>
        </w:rPr>
        <w:t>Procrastination</w:t>
      </w:r>
      <w:proofErr w:type="spellEnd"/>
      <w:r w:rsidRPr="006D7DCA">
        <w:rPr>
          <w:rFonts w:ascii="Times New Roman" w:hAnsi="Times New Roman" w:cs="Times New Roman"/>
          <w:sz w:val="22"/>
          <w:szCs w:val="22"/>
        </w:rPr>
        <w:t xml:space="preserve"> in </w:t>
      </w:r>
      <w:proofErr w:type="spellStart"/>
      <w:r w:rsidRPr="006D7DCA">
        <w:rPr>
          <w:rFonts w:ascii="Times New Roman" w:hAnsi="Times New Roman" w:cs="Times New Roman"/>
          <w:sz w:val="22"/>
          <w:szCs w:val="22"/>
        </w:rPr>
        <w:t>Academic</w:t>
      </w:r>
      <w:proofErr w:type="spellEnd"/>
      <w:r w:rsidRPr="006D7DCA">
        <w:rPr>
          <w:rFonts w:ascii="Times New Roman" w:hAnsi="Times New Roman" w:cs="Times New Roman"/>
          <w:sz w:val="22"/>
          <w:szCs w:val="22"/>
        </w:rPr>
        <w:t xml:space="preserve"> </w:t>
      </w:r>
      <w:proofErr w:type="spellStart"/>
      <w:r w:rsidRPr="006D7DCA">
        <w:rPr>
          <w:rFonts w:ascii="Times New Roman" w:hAnsi="Times New Roman" w:cs="Times New Roman"/>
          <w:sz w:val="22"/>
          <w:szCs w:val="22"/>
        </w:rPr>
        <w:t>Settings</w:t>
      </w:r>
      <w:proofErr w:type="spellEnd"/>
      <w:r w:rsidRPr="006D7DCA">
        <w:rPr>
          <w:rFonts w:ascii="Times New Roman" w:hAnsi="Times New Roman" w:cs="Times New Roman"/>
          <w:sz w:val="22"/>
          <w:szCs w:val="22"/>
        </w:rPr>
        <w:t xml:space="preserve">: General </w:t>
      </w:r>
      <w:proofErr w:type="spellStart"/>
      <w:r w:rsidRPr="006D7DCA">
        <w:rPr>
          <w:rFonts w:ascii="Times New Roman" w:hAnsi="Times New Roman" w:cs="Times New Roman"/>
          <w:sz w:val="22"/>
          <w:szCs w:val="22"/>
        </w:rPr>
        <w:t>Introduction</w:t>
      </w:r>
      <w:proofErr w:type="spellEnd"/>
      <w:r w:rsidRPr="006D7DCA">
        <w:rPr>
          <w:rFonts w:ascii="Times New Roman" w:hAnsi="Times New Roman" w:cs="Times New Roman"/>
          <w:sz w:val="22"/>
          <w:szCs w:val="22"/>
        </w:rPr>
        <w:t xml:space="preserve">. In H. C. </w:t>
      </w:r>
      <w:proofErr w:type="spellStart"/>
      <w:r w:rsidRPr="006D7DCA">
        <w:rPr>
          <w:rFonts w:ascii="Times New Roman" w:hAnsi="Times New Roman" w:cs="Times New Roman"/>
          <w:sz w:val="22"/>
          <w:szCs w:val="22"/>
        </w:rPr>
        <w:t>Schouwenburg</w:t>
      </w:r>
      <w:proofErr w:type="spellEnd"/>
      <w:r w:rsidRPr="006D7DCA">
        <w:rPr>
          <w:rFonts w:ascii="Times New Roman" w:hAnsi="Times New Roman" w:cs="Times New Roman"/>
          <w:sz w:val="22"/>
          <w:szCs w:val="22"/>
        </w:rPr>
        <w:t xml:space="preserve">, C. H. Lay, T. A. </w:t>
      </w:r>
      <w:proofErr w:type="spellStart"/>
      <w:r w:rsidRPr="006D7DCA">
        <w:rPr>
          <w:rFonts w:ascii="Times New Roman" w:hAnsi="Times New Roman" w:cs="Times New Roman"/>
          <w:sz w:val="22"/>
          <w:szCs w:val="22"/>
        </w:rPr>
        <w:t>Pychyl</w:t>
      </w:r>
      <w:proofErr w:type="spellEnd"/>
      <w:r w:rsidRPr="006D7DCA">
        <w:rPr>
          <w:rFonts w:ascii="Times New Roman" w:hAnsi="Times New Roman" w:cs="Times New Roman"/>
          <w:sz w:val="22"/>
          <w:szCs w:val="22"/>
        </w:rPr>
        <w:t>, &amp; J. R. Ferrari (Eds.), </w:t>
      </w:r>
      <w:proofErr w:type="spellStart"/>
      <w:r w:rsidRPr="006D7DCA">
        <w:rPr>
          <w:rFonts w:ascii="Times New Roman" w:hAnsi="Times New Roman" w:cs="Times New Roman"/>
          <w:i/>
          <w:iCs/>
          <w:sz w:val="22"/>
          <w:szCs w:val="22"/>
        </w:rPr>
        <w:t>Counseling</w:t>
      </w:r>
      <w:proofErr w:type="spellEnd"/>
      <w:r w:rsidRPr="006D7DCA">
        <w:rPr>
          <w:rFonts w:ascii="Times New Roman" w:hAnsi="Times New Roman" w:cs="Times New Roman"/>
          <w:i/>
          <w:iCs/>
          <w:sz w:val="22"/>
          <w:szCs w:val="22"/>
        </w:rPr>
        <w:t xml:space="preserve"> </w:t>
      </w:r>
      <w:proofErr w:type="spellStart"/>
      <w:r w:rsidRPr="006D7DCA">
        <w:rPr>
          <w:rFonts w:ascii="Times New Roman" w:hAnsi="Times New Roman" w:cs="Times New Roman"/>
          <w:i/>
          <w:iCs/>
          <w:sz w:val="22"/>
          <w:szCs w:val="22"/>
        </w:rPr>
        <w:t>the</w:t>
      </w:r>
      <w:proofErr w:type="spellEnd"/>
      <w:r w:rsidRPr="006D7DCA">
        <w:rPr>
          <w:rFonts w:ascii="Times New Roman" w:hAnsi="Times New Roman" w:cs="Times New Roman"/>
          <w:i/>
          <w:iCs/>
          <w:sz w:val="22"/>
          <w:szCs w:val="22"/>
        </w:rPr>
        <w:t xml:space="preserve"> </w:t>
      </w:r>
      <w:proofErr w:type="spellStart"/>
      <w:r w:rsidRPr="006D7DCA">
        <w:rPr>
          <w:rFonts w:ascii="Times New Roman" w:hAnsi="Times New Roman" w:cs="Times New Roman"/>
          <w:i/>
          <w:iCs/>
          <w:sz w:val="22"/>
          <w:szCs w:val="22"/>
        </w:rPr>
        <w:t>procrastinator</w:t>
      </w:r>
      <w:proofErr w:type="spellEnd"/>
      <w:r w:rsidRPr="006D7DCA">
        <w:rPr>
          <w:rFonts w:ascii="Times New Roman" w:hAnsi="Times New Roman" w:cs="Times New Roman"/>
          <w:i/>
          <w:iCs/>
          <w:sz w:val="22"/>
          <w:szCs w:val="22"/>
        </w:rPr>
        <w:t xml:space="preserve"> in </w:t>
      </w:r>
      <w:proofErr w:type="spellStart"/>
      <w:r w:rsidRPr="006D7DCA">
        <w:rPr>
          <w:rFonts w:ascii="Times New Roman" w:hAnsi="Times New Roman" w:cs="Times New Roman"/>
          <w:i/>
          <w:iCs/>
          <w:sz w:val="22"/>
          <w:szCs w:val="22"/>
        </w:rPr>
        <w:t>academic</w:t>
      </w:r>
      <w:proofErr w:type="spellEnd"/>
      <w:r w:rsidRPr="006D7DCA">
        <w:rPr>
          <w:rFonts w:ascii="Times New Roman" w:hAnsi="Times New Roman" w:cs="Times New Roman"/>
          <w:i/>
          <w:iCs/>
          <w:sz w:val="22"/>
          <w:szCs w:val="22"/>
        </w:rPr>
        <w:t xml:space="preserve"> </w:t>
      </w:r>
      <w:proofErr w:type="spellStart"/>
      <w:r w:rsidRPr="006D7DCA">
        <w:rPr>
          <w:rFonts w:ascii="Times New Roman" w:hAnsi="Times New Roman" w:cs="Times New Roman"/>
          <w:i/>
          <w:iCs/>
          <w:sz w:val="22"/>
          <w:szCs w:val="22"/>
        </w:rPr>
        <w:t>settings</w:t>
      </w:r>
      <w:proofErr w:type="spellEnd"/>
      <w:r w:rsidRPr="006D7DCA">
        <w:rPr>
          <w:rFonts w:ascii="Times New Roman" w:hAnsi="Times New Roman" w:cs="Times New Roman"/>
          <w:sz w:val="22"/>
          <w:szCs w:val="22"/>
        </w:rPr>
        <w:t xml:space="preserve"> (pp. 3–17). American </w:t>
      </w:r>
      <w:proofErr w:type="spellStart"/>
      <w:r w:rsidRPr="006D7DCA">
        <w:rPr>
          <w:rFonts w:ascii="Times New Roman" w:hAnsi="Times New Roman" w:cs="Times New Roman"/>
          <w:sz w:val="22"/>
          <w:szCs w:val="22"/>
        </w:rPr>
        <w:t>Psychological</w:t>
      </w:r>
      <w:proofErr w:type="spellEnd"/>
      <w:r w:rsidRPr="006D7DCA">
        <w:rPr>
          <w:rFonts w:ascii="Times New Roman" w:hAnsi="Times New Roman" w:cs="Times New Roman"/>
          <w:sz w:val="22"/>
          <w:szCs w:val="22"/>
        </w:rPr>
        <w:t xml:space="preserve"> </w:t>
      </w:r>
      <w:proofErr w:type="spellStart"/>
      <w:r w:rsidRPr="006D7DCA">
        <w:rPr>
          <w:rFonts w:ascii="Times New Roman" w:hAnsi="Times New Roman" w:cs="Times New Roman"/>
          <w:sz w:val="22"/>
          <w:szCs w:val="22"/>
        </w:rPr>
        <w:t>Association</w:t>
      </w:r>
      <w:proofErr w:type="spellEnd"/>
      <w:r w:rsidRPr="006D7DCA">
        <w:rPr>
          <w:rFonts w:ascii="Times New Roman" w:hAnsi="Times New Roman" w:cs="Times New Roman"/>
          <w:sz w:val="22"/>
          <w:szCs w:val="22"/>
        </w:rPr>
        <w:t>. </w:t>
      </w:r>
      <w:hyperlink r:id="rId56" w:tgtFrame="_blank" w:history="1">
        <w:r w:rsidRPr="006D7DCA">
          <w:rPr>
            <w:rStyle w:val="Hipervnculo"/>
            <w:rFonts w:ascii="Times New Roman" w:hAnsi="Times New Roman" w:cs="Times New Roman"/>
            <w:color w:val="auto"/>
            <w:sz w:val="22"/>
            <w:szCs w:val="22"/>
          </w:rPr>
          <w:t>https://doi.org/10.1037/10808-001</w:t>
        </w:r>
      </w:hyperlink>
    </w:p>
    <w:p w14:paraId="4CC4A857" w14:textId="77777777" w:rsidR="00A94EF3"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rPr>
        <w:t>Schröder, H., Fitó, M., Estruch, R., Martínez‐González, M. A., Corella, D., Salas‐</w:t>
      </w:r>
      <w:proofErr w:type="spellStart"/>
      <w:r w:rsidRPr="006D7DCA">
        <w:rPr>
          <w:rFonts w:ascii="Times New Roman" w:hAnsi="Times New Roman" w:cs="Times New Roman"/>
          <w:sz w:val="22"/>
          <w:szCs w:val="22"/>
        </w:rPr>
        <w:t>Salvadó</w:t>
      </w:r>
      <w:proofErr w:type="spellEnd"/>
      <w:r w:rsidRPr="006D7DCA">
        <w:rPr>
          <w:rFonts w:ascii="Times New Roman" w:hAnsi="Times New Roman" w:cs="Times New Roman"/>
          <w:sz w:val="22"/>
          <w:szCs w:val="22"/>
        </w:rPr>
        <w:t xml:space="preserve">, J., ... </w:t>
      </w:r>
      <w:r w:rsidRPr="006D7DCA">
        <w:rPr>
          <w:rFonts w:ascii="Times New Roman" w:hAnsi="Times New Roman" w:cs="Times New Roman"/>
          <w:sz w:val="22"/>
          <w:szCs w:val="22"/>
          <w:lang w:val="en-US"/>
        </w:rPr>
        <w:t>&amp; Covas, M. I. (2011). A short screener is valid for assessing Mediterranean diet adherence among older Spanish men and women. The Journal of nutrition, 141(6), 1140-1145.</w:t>
      </w:r>
      <w:r w:rsidR="00A94EF3" w:rsidRPr="006D7DCA">
        <w:t xml:space="preserve"> </w:t>
      </w:r>
      <w:hyperlink r:id="rId57" w:tgtFrame="_blank" w:tooltip="Persistent link using digital object identifier" w:history="1">
        <w:r w:rsidR="00A94EF3" w:rsidRPr="006D7DCA">
          <w:rPr>
            <w:rStyle w:val="Hipervnculo"/>
            <w:rFonts w:ascii="Times New Roman" w:hAnsi="Times New Roman" w:cs="Times New Roman"/>
            <w:color w:val="auto"/>
            <w:sz w:val="22"/>
            <w:szCs w:val="22"/>
          </w:rPr>
          <w:t>https://doi.org/10.3945/jn.110.135566</w:t>
        </w:r>
      </w:hyperlink>
    </w:p>
    <w:p w14:paraId="17BD8C45" w14:textId="1A04B000"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 xml:space="preserve">Serrano, C., Andreu, Y., </w:t>
      </w:r>
      <w:proofErr w:type="spellStart"/>
      <w:r w:rsidRPr="006D7DCA">
        <w:rPr>
          <w:rFonts w:ascii="Times New Roman" w:hAnsi="Times New Roman" w:cs="Times New Roman"/>
          <w:sz w:val="22"/>
          <w:szCs w:val="22"/>
          <w:lang w:val="en-US"/>
        </w:rPr>
        <w:t>Murgui</w:t>
      </w:r>
      <w:proofErr w:type="spellEnd"/>
      <w:r w:rsidRPr="006D7DCA">
        <w:rPr>
          <w:rFonts w:ascii="Times New Roman" w:hAnsi="Times New Roman" w:cs="Times New Roman"/>
          <w:sz w:val="22"/>
          <w:szCs w:val="22"/>
          <w:lang w:val="en-US"/>
        </w:rPr>
        <w:t>, S., &amp; Martínez, P. (2019). Psychometric properties of Spanish version student Utrecht Work Engagement Scale (UWES–S–9) in high-school students. </w:t>
      </w:r>
      <w:r w:rsidRPr="006D7DCA">
        <w:rPr>
          <w:rFonts w:ascii="Times New Roman" w:hAnsi="Times New Roman" w:cs="Times New Roman"/>
          <w:i/>
          <w:iCs/>
          <w:sz w:val="22"/>
          <w:szCs w:val="22"/>
          <w:lang w:val="en-US"/>
        </w:rPr>
        <w:t>The Spanish journal of psychology</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22</w:t>
      </w:r>
      <w:r w:rsidRPr="006D7DCA">
        <w:rPr>
          <w:rFonts w:ascii="Times New Roman" w:hAnsi="Times New Roman" w:cs="Times New Roman"/>
          <w:sz w:val="22"/>
          <w:szCs w:val="22"/>
          <w:lang w:val="en-US"/>
        </w:rPr>
        <w:t>, E21</w:t>
      </w:r>
      <w:r w:rsidR="00A94EF3" w:rsidRPr="006D7DCA">
        <w:rPr>
          <w:rFonts w:ascii="Times New Roman" w:hAnsi="Times New Roman" w:cs="Times New Roman"/>
          <w:sz w:val="22"/>
          <w:szCs w:val="22"/>
          <w:lang w:val="en-US"/>
        </w:rPr>
        <w:t xml:space="preserve">. </w:t>
      </w:r>
      <w:hyperlink r:id="rId58" w:tgtFrame="_blank" w:history="1">
        <w:r w:rsidR="00A94EF3" w:rsidRPr="006D7DCA">
          <w:rPr>
            <w:rStyle w:val="Hipervnculo"/>
            <w:rFonts w:ascii="Times New Roman" w:hAnsi="Times New Roman" w:cs="Times New Roman"/>
            <w:color w:val="auto"/>
            <w:sz w:val="22"/>
            <w:szCs w:val="22"/>
          </w:rPr>
          <w:t>https://doi.org/10.1017/sjp.2019.25</w:t>
        </w:r>
      </w:hyperlink>
    </w:p>
    <w:p w14:paraId="5DBAEABD" w14:textId="25BE4311" w:rsidR="008C46E8" w:rsidRPr="006D7DCA" w:rsidRDefault="008C46E8" w:rsidP="00181A0E">
      <w:pPr>
        <w:spacing w:before="240" w:line="360" w:lineRule="auto"/>
        <w:ind w:left="709" w:hanging="709"/>
        <w:jc w:val="both"/>
        <w:rPr>
          <w:rFonts w:ascii="Times New Roman" w:eastAsia="Calibri" w:hAnsi="Times New Roman" w:cs="Times New Roman"/>
          <w:sz w:val="22"/>
          <w:szCs w:val="22"/>
          <w:lang w:val="en-US"/>
        </w:rPr>
      </w:pPr>
      <w:r w:rsidRPr="006D7DCA">
        <w:rPr>
          <w:rFonts w:ascii="Times New Roman" w:eastAsia="Calibri" w:hAnsi="Times New Roman" w:cs="Times New Roman"/>
          <w:sz w:val="22"/>
          <w:szCs w:val="22"/>
          <w:lang w:val="en-US"/>
        </w:rPr>
        <w:t xml:space="preserve">Sheldon, E., Simmonds-Buckley, M., Bone, C., Mascarenhas, T., Chan, N., </w:t>
      </w:r>
      <w:proofErr w:type="spellStart"/>
      <w:r w:rsidRPr="006D7DCA">
        <w:rPr>
          <w:rFonts w:ascii="Times New Roman" w:eastAsia="Calibri" w:hAnsi="Times New Roman" w:cs="Times New Roman"/>
          <w:sz w:val="22"/>
          <w:szCs w:val="22"/>
          <w:lang w:val="en-US"/>
        </w:rPr>
        <w:t>Wincott</w:t>
      </w:r>
      <w:proofErr w:type="spellEnd"/>
      <w:r w:rsidRPr="006D7DCA">
        <w:rPr>
          <w:rFonts w:ascii="Times New Roman" w:eastAsia="Calibri" w:hAnsi="Times New Roman" w:cs="Times New Roman"/>
          <w:sz w:val="22"/>
          <w:szCs w:val="22"/>
          <w:lang w:val="en-US"/>
        </w:rPr>
        <w:t>, M., ... &amp; Barkham, M. (2021). Prevalence and risk factors for mental health problems in university undergraduate students: A systematic review with meta-analysis. </w:t>
      </w:r>
      <w:r w:rsidRPr="006D7DCA">
        <w:rPr>
          <w:rFonts w:ascii="Times New Roman" w:eastAsia="Calibri" w:hAnsi="Times New Roman" w:cs="Times New Roman"/>
          <w:i/>
          <w:iCs/>
          <w:sz w:val="22"/>
          <w:szCs w:val="22"/>
          <w:lang w:val="en-US"/>
        </w:rPr>
        <w:t>Journal of affective disorders</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287</w:t>
      </w:r>
      <w:r w:rsidRPr="006D7DCA">
        <w:rPr>
          <w:rFonts w:ascii="Times New Roman" w:eastAsia="Calibri" w:hAnsi="Times New Roman" w:cs="Times New Roman"/>
          <w:sz w:val="22"/>
          <w:szCs w:val="22"/>
          <w:lang w:val="en-US"/>
        </w:rPr>
        <w:t>, 282-292.</w:t>
      </w:r>
      <w:r w:rsidR="00A94EF3" w:rsidRPr="006D7DCA">
        <w:rPr>
          <w:rFonts w:ascii="Arial" w:hAnsi="Arial" w:cs="Arial"/>
          <w:sz w:val="21"/>
          <w:szCs w:val="21"/>
          <w:shd w:val="clear" w:color="auto" w:fill="FFFFFF"/>
        </w:rPr>
        <w:t xml:space="preserve"> </w:t>
      </w:r>
      <w:r w:rsidR="00A94EF3" w:rsidRPr="006D7DCA">
        <w:rPr>
          <w:rFonts w:ascii="Times New Roman" w:eastAsia="Calibri" w:hAnsi="Times New Roman" w:cs="Times New Roman"/>
          <w:sz w:val="22"/>
          <w:szCs w:val="22"/>
        </w:rPr>
        <w:t> </w:t>
      </w:r>
      <w:hyperlink r:id="rId59" w:tgtFrame="_blank" w:history="1">
        <w:r w:rsidR="00A94EF3" w:rsidRPr="006D7DCA">
          <w:rPr>
            <w:rStyle w:val="Hipervnculo"/>
            <w:rFonts w:ascii="Times New Roman" w:eastAsia="Calibri" w:hAnsi="Times New Roman" w:cs="Times New Roman"/>
            <w:color w:val="auto"/>
            <w:sz w:val="22"/>
            <w:szCs w:val="22"/>
          </w:rPr>
          <w:t>https://doi.org/10.1016/j.jad.2021.03.054</w:t>
        </w:r>
      </w:hyperlink>
    </w:p>
    <w:p w14:paraId="66CC2CEC" w14:textId="0A8ECFB3"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 xml:space="preserve">Smith, M. D., &amp; </w:t>
      </w:r>
      <w:proofErr w:type="spellStart"/>
      <w:r w:rsidRPr="006D7DCA">
        <w:rPr>
          <w:rFonts w:ascii="Times New Roman" w:hAnsi="Times New Roman" w:cs="Times New Roman"/>
          <w:sz w:val="22"/>
          <w:szCs w:val="22"/>
          <w:lang w:val="en-US"/>
        </w:rPr>
        <w:t>Wesselbaum</w:t>
      </w:r>
      <w:proofErr w:type="spellEnd"/>
      <w:r w:rsidRPr="006D7DCA">
        <w:rPr>
          <w:rFonts w:ascii="Times New Roman" w:hAnsi="Times New Roman" w:cs="Times New Roman"/>
          <w:sz w:val="22"/>
          <w:szCs w:val="22"/>
          <w:lang w:val="en-US"/>
        </w:rPr>
        <w:t xml:space="preserve">, D. (2025). Global evidence on the prevalence of and risk factors associated with stress. </w:t>
      </w:r>
      <w:r w:rsidRPr="006D7DCA">
        <w:rPr>
          <w:rFonts w:ascii="Times New Roman" w:hAnsi="Times New Roman" w:cs="Times New Roman"/>
          <w:i/>
          <w:iCs/>
          <w:sz w:val="22"/>
          <w:szCs w:val="22"/>
          <w:lang w:val="en-US"/>
        </w:rPr>
        <w:t>Journal of affective disorders, 374</w:t>
      </w:r>
      <w:r w:rsidRPr="006D7DCA">
        <w:rPr>
          <w:rFonts w:ascii="Times New Roman" w:hAnsi="Times New Roman" w:cs="Times New Roman"/>
          <w:sz w:val="22"/>
          <w:szCs w:val="22"/>
          <w:lang w:val="en-US"/>
        </w:rPr>
        <w:t>, 179-183.</w:t>
      </w:r>
      <w:r w:rsidR="00A94EF3" w:rsidRPr="006D7DCA">
        <w:t xml:space="preserve"> </w:t>
      </w:r>
      <w:hyperlink r:id="rId60" w:tgtFrame="_blank" w:history="1">
        <w:r w:rsidR="00A94EF3" w:rsidRPr="006D7DCA">
          <w:rPr>
            <w:rStyle w:val="Hipervnculo"/>
            <w:rFonts w:ascii="Times New Roman" w:hAnsi="Times New Roman" w:cs="Times New Roman"/>
            <w:color w:val="auto"/>
            <w:sz w:val="22"/>
            <w:szCs w:val="22"/>
          </w:rPr>
          <w:t>https://doi.org/10.1016/j.jad.2025.01.053</w:t>
        </w:r>
      </w:hyperlink>
    </w:p>
    <w:p w14:paraId="41E458E3"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lang w:val="en-US"/>
        </w:rPr>
        <w:t xml:space="preserve">Steel P. (2007). The nature of procrastination: a meta-analytic and theoretical review of quintessential self-regulatory failure. </w:t>
      </w:r>
      <w:r w:rsidRPr="006D7DCA">
        <w:rPr>
          <w:rFonts w:ascii="Times New Roman" w:eastAsia="Calibri" w:hAnsi="Times New Roman" w:cs="Times New Roman"/>
          <w:i/>
          <w:iCs/>
          <w:sz w:val="22"/>
          <w:szCs w:val="22"/>
          <w:lang w:val="en-US"/>
        </w:rPr>
        <w:t>Psychological bulletin, 133</w:t>
      </w:r>
      <w:r w:rsidRPr="006D7DCA">
        <w:rPr>
          <w:rFonts w:ascii="Times New Roman" w:eastAsia="Calibri" w:hAnsi="Times New Roman" w:cs="Times New Roman"/>
          <w:sz w:val="22"/>
          <w:szCs w:val="22"/>
          <w:lang w:val="en-US"/>
        </w:rPr>
        <w:t xml:space="preserve">(1), 65–94. </w:t>
      </w:r>
      <w:hyperlink r:id="rId61" w:history="1">
        <w:r w:rsidRPr="006D7DCA">
          <w:rPr>
            <w:rFonts w:ascii="Times New Roman" w:eastAsia="Calibri" w:hAnsi="Times New Roman" w:cs="Times New Roman"/>
            <w:sz w:val="22"/>
            <w:szCs w:val="22"/>
            <w:u w:val="single"/>
            <w:lang w:val="en-US"/>
          </w:rPr>
          <w:t>https://doi.org/10.1037/0033-2909.133.1.65</w:t>
        </w:r>
      </w:hyperlink>
    </w:p>
    <w:p w14:paraId="7032DFAB" w14:textId="35933FA3"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eastAsia="Calibri" w:hAnsi="Times New Roman" w:cs="Times New Roman"/>
          <w:sz w:val="22"/>
          <w:szCs w:val="22"/>
          <w:lang w:val="en-US"/>
        </w:rPr>
        <w:t>Twenge, J. M., &amp; Farley, E. (2021). Not all screen time is created equal: associations with mental health vary by activity and gender. </w:t>
      </w:r>
      <w:r w:rsidRPr="006D7DCA">
        <w:rPr>
          <w:rFonts w:ascii="Times New Roman" w:eastAsia="Calibri" w:hAnsi="Times New Roman" w:cs="Times New Roman"/>
          <w:i/>
          <w:iCs/>
          <w:sz w:val="22"/>
          <w:szCs w:val="22"/>
        </w:rPr>
        <w:t xml:space="preserve">Social </w:t>
      </w:r>
      <w:proofErr w:type="spellStart"/>
      <w:r w:rsidRPr="006D7DCA">
        <w:rPr>
          <w:rFonts w:ascii="Times New Roman" w:eastAsia="Calibri" w:hAnsi="Times New Roman" w:cs="Times New Roman"/>
          <w:i/>
          <w:iCs/>
          <w:sz w:val="22"/>
          <w:szCs w:val="22"/>
        </w:rPr>
        <w:t>psychiatry</w:t>
      </w:r>
      <w:proofErr w:type="spellEnd"/>
      <w:r w:rsidRPr="006D7DCA">
        <w:rPr>
          <w:rFonts w:ascii="Times New Roman" w:eastAsia="Calibri" w:hAnsi="Times New Roman" w:cs="Times New Roman"/>
          <w:i/>
          <w:iCs/>
          <w:sz w:val="22"/>
          <w:szCs w:val="22"/>
        </w:rPr>
        <w:t xml:space="preserve"> and </w:t>
      </w:r>
      <w:proofErr w:type="spellStart"/>
      <w:r w:rsidRPr="006D7DCA">
        <w:rPr>
          <w:rFonts w:ascii="Times New Roman" w:eastAsia="Calibri" w:hAnsi="Times New Roman" w:cs="Times New Roman"/>
          <w:i/>
          <w:iCs/>
          <w:sz w:val="22"/>
          <w:szCs w:val="22"/>
        </w:rPr>
        <w:t>psychiatric</w:t>
      </w:r>
      <w:proofErr w:type="spellEnd"/>
      <w:r w:rsidRPr="006D7DCA">
        <w:rPr>
          <w:rFonts w:ascii="Times New Roman" w:eastAsia="Calibri" w:hAnsi="Times New Roman" w:cs="Times New Roman"/>
          <w:i/>
          <w:iCs/>
          <w:sz w:val="22"/>
          <w:szCs w:val="22"/>
        </w:rPr>
        <w:t xml:space="preserve"> </w:t>
      </w:r>
      <w:proofErr w:type="spellStart"/>
      <w:r w:rsidRPr="006D7DCA">
        <w:rPr>
          <w:rFonts w:ascii="Times New Roman" w:eastAsia="Calibri" w:hAnsi="Times New Roman" w:cs="Times New Roman"/>
          <w:i/>
          <w:iCs/>
          <w:sz w:val="22"/>
          <w:szCs w:val="22"/>
        </w:rPr>
        <w:t>epidemiology</w:t>
      </w:r>
      <w:proofErr w:type="spellEnd"/>
      <w:r w:rsidRPr="006D7DCA">
        <w:rPr>
          <w:rFonts w:ascii="Times New Roman" w:eastAsia="Calibri" w:hAnsi="Times New Roman" w:cs="Times New Roman"/>
          <w:sz w:val="22"/>
          <w:szCs w:val="22"/>
        </w:rPr>
        <w:t>, </w:t>
      </w:r>
      <w:r w:rsidRPr="006D7DCA">
        <w:rPr>
          <w:rFonts w:ascii="Times New Roman" w:eastAsia="Calibri" w:hAnsi="Times New Roman" w:cs="Times New Roman"/>
          <w:i/>
          <w:iCs/>
          <w:sz w:val="22"/>
          <w:szCs w:val="22"/>
        </w:rPr>
        <w:t>56</w:t>
      </w:r>
      <w:r w:rsidRPr="006D7DCA">
        <w:rPr>
          <w:rFonts w:ascii="Times New Roman" w:eastAsia="Calibri" w:hAnsi="Times New Roman" w:cs="Times New Roman"/>
          <w:sz w:val="22"/>
          <w:szCs w:val="22"/>
        </w:rPr>
        <w:t>, 207-217.</w:t>
      </w:r>
      <w:r w:rsidR="00A94EF3" w:rsidRPr="006D7DCA">
        <w:rPr>
          <w:rFonts w:ascii="Merriweather Sans" w:hAnsi="Merriweather Sans"/>
          <w:shd w:val="clear" w:color="auto" w:fill="FFFFFF"/>
        </w:rPr>
        <w:t xml:space="preserve"> </w:t>
      </w:r>
      <w:r w:rsidR="00A94EF3" w:rsidRPr="006D7DCA">
        <w:rPr>
          <w:rFonts w:ascii="Times New Roman" w:eastAsia="Calibri" w:hAnsi="Times New Roman" w:cs="Times New Roman"/>
          <w:sz w:val="22"/>
          <w:szCs w:val="22"/>
        </w:rPr>
        <w:t>https://doi.org/10.1007/s00127-020-01906-9</w:t>
      </w:r>
    </w:p>
    <w:p w14:paraId="6ABB8FD7" w14:textId="1E6A85BB" w:rsidR="008C46E8" w:rsidRPr="006D7DCA" w:rsidRDefault="008C46E8" w:rsidP="00181A0E">
      <w:pPr>
        <w:spacing w:before="240" w:line="360" w:lineRule="auto"/>
        <w:ind w:left="709" w:hanging="709"/>
        <w:jc w:val="both"/>
        <w:rPr>
          <w:rFonts w:ascii="Times New Roman" w:hAnsi="Times New Roman" w:cs="Times New Roman"/>
          <w:sz w:val="22"/>
          <w:szCs w:val="22"/>
        </w:rPr>
      </w:pPr>
      <w:r w:rsidRPr="006D7DCA">
        <w:rPr>
          <w:rFonts w:ascii="Times New Roman" w:hAnsi="Times New Roman" w:cs="Times New Roman"/>
          <w:sz w:val="22"/>
          <w:szCs w:val="22"/>
        </w:rPr>
        <w:t xml:space="preserve">Valdivieso-León, L.; Lucas Mangas, S.; Tous-Pallarés, J. &amp; Espinoza-Díaz, I. M. (2020). Estrategias de afrontamiento del estrés académico universitario: educación infantil-primaria. </w:t>
      </w:r>
      <w:r w:rsidRPr="006D7DCA">
        <w:rPr>
          <w:rFonts w:ascii="Times New Roman" w:hAnsi="Times New Roman" w:cs="Times New Roman"/>
          <w:i/>
          <w:iCs/>
          <w:sz w:val="22"/>
          <w:szCs w:val="22"/>
        </w:rPr>
        <w:t>Educación XX1</w:t>
      </w:r>
      <w:r w:rsidRPr="006D7DCA">
        <w:rPr>
          <w:rFonts w:ascii="Times New Roman" w:hAnsi="Times New Roman" w:cs="Times New Roman"/>
          <w:sz w:val="22"/>
          <w:szCs w:val="22"/>
        </w:rPr>
        <w:t>, 23(2), 165-186.</w:t>
      </w:r>
      <w:r w:rsidR="00A94EF3" w:rsidRPr="006D7DCA">
        <w:t xml:space="preserve"> </w:t>
      </w:r>
      <w:hyperlink r:id="rId62" w:history="1">
        <w:r w:rsidR="00A94EF3" w:rsidRPr="006D7DCA">
          <w:rPr>
            <w:rStyle w:val="Hipervnculo"/>
            <w:rFonts w:ascii="Times New Roman" w:hAnsi="Times New Roman" w:cs="Times New Roman"/>
            <w:color w:val="auto"/>
            <w:sz w:val="22"/>
            <w:szCs w:val="22"/>
          </w:rPr>
          <w:t>https://doi.org/10.5944/educxx1.25651</w:t>
        </w:r>
      </w:hyperlink>
    </w:p>
    <w:p w14:paraId="388A1A86" w14:textId="77777777"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proofErr w:type="spellStart"/>
      <w:r w:rsidRPr="006D7DCA">
        <w:rPr>
          <w:rFonts w:ascii="Times New Roman" w:hAnsi="Times New Roman" w:cs="Times New Roman"/>
          <w:sz w:val="22"/>
          <w:szCs w:val="22"/>
        </w:rPr>
        <w:t>Ventriglio</w:t>
      </w:r>
      <w:proofErr w:type="spellEnd"/>
      <w:r w:rsidRPr="006D7DCA">
        <w:rPr>
          <w:rFonts w:ascii="Times New Roman" w:hAnsi="Times New Roman" w:cs="Times New Roman"/>
          <w:sz w:val="22"/>
          <w:szCs w:val="22"/>
        </w:rPr>
        <w:t xml:space="preserve">, A., </w:t>
      </w:r>
      <w:proofErr w:type="spellStart"/>
      <w:r w:rsidRPr="006D7DCA">
        <w:rPr>
          <w:rFonts w:ascii="Times New Roman" w:hAnsi="Times New Roman" w:cs="Times New Roman"/>
          <w:sz w:val="22"/>
          <w:szCs w:val="22"/>
        </w:rPr>
        <w:t>Sancassiani</w:t>
      </w:r>
      <w:proofErr w:type="spellEnd"/>
      <w:r w:rsidRPr="006D7DCA">
        <w:rPr>
          <w:rFonts w:ascii="Times New Roman" w:hAnsi="Times New Roman" w:cs="Times New Roman"/>
          <w:sz w:val="22"/>
          <w:szCs w:val="22"/>
        </w:rPr>
        <w:t xml:space="preserve">, F., </w:t>
      </w:r>
      <w:proofErr w:type="spellStart"/>
      <w:r w:rsidRPr="006D7DCA">
        <w:rPr>
          <w:rFonts w:ascii="Times New Roman" w:hAnsi="Times New Roman" w:cs="Times New Roman"/>
          <w:sz w:val="22"/>
          <w:szCs w:val="22"/>
        </w:rPr>
        <w:t>Contu</w:t>
      </w:r>
      <w:proofErr w:type="spellEnd"/>
      <w:r w:rsidRPr="006D7DCA">
        <w:rPr>
          <w:rFonts w:ascii="Times New Roman" w:hAnsi="Times New Roman" w:cs="Times New Roman"/>
          <w:sz w:val="22"/>
          <w:szCs w:val="22"/>
        </w:rPr>
        <w:t xml:space="preserve">, M. P., Latorre, M., Di </w:t>
      </w:r>
      <w:proofErr w:type="spellStart"/>
      <w:r w:rsidRPr="006D7DCA">
        <w:rPr>
          <w:rFonts w:ascii="Times New Roman" w:hAnsi="Times New Roman" w:cs="Times New Roman"/>
          <w:sz w:val="22"/>
          <w:szCs w:val="22"/>
        </w:rPr>
        <w:t>Slavatore</w:t>
      </w:r>
      <w:proofErr w:type="spellEnd"/>
      <w:r w:rsidRPr="006D7DCA">
        <w:rPr>
          <w:rFonts w:ascii="Times New Roman" w:hAnsi="Times New Roman" w:cs="Times New Roman"/>
          <w:sz w:val="22"/>
          <w:szCs w:val="22"/>
        </w:rPr>
        <w:t xml:space="preserve">, M., Fornaro, M., &amp; Bhugra, D. (2020). </w:t>
      </w:r>
      <w:r w:rsidRPr="006D7DCA">
        <w:rPr>
          <w:rFonts w:ascii="Times New Roman" w:hAnsi="Times New Roman" w:cs="Times New Roman"/>
          <w:sz w:val="22"/>
          <w:szCs w:val="22"/>
          <w:lang w:val="en-US"/>
        </w:rPr>
        <w:t>Mediterranean diet and its benefits on health and mental health: a literature review. </w:t>
      </w:r>
      <w:r w:rsidRPr="006D7DCA">
        <w:rPr>
          <w:rFonts w:ascii="Times New Roman" w:hAnsi="Times New Roman" w:cs="Times New Roman"/>
          <w:i/>
          <w:iCs/>
          <w:sz w:val="22"/>
          <w:szCs w:val="22"/>
          <w:lang w:val="en-US"/>
        </w:rPr>
        <w:t>Clinical practice and epidemiology in mental health: CP &amp; EMH</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16</w:t>
      </w:r>
      <w:r w:rsidRPr="006D7DCA">
        <w:rPr>
          <w:rFonts w:ascii="Times New Roman" w:hAnsi="Times New Roman" w:cs="Times New Roman"/>
          <w:sz w:val="22"/>
          <w:szCs w:val="22"/>
          <w:lang w:val="en-US"/>
        </w:rPr>
        <w:t>(Suppl-1), 156.</w:t>
      </w:r>
    </w:p>
    <w:p w14:paraId="5287448C" w14:textId="035F0908" w:rsidR="00492FD3" w:rsidRPr="006D7DCA" w:rsidRDefault="00492FD3" w:rsidP="00181A0E">
      <w:pPr>
        <w:spacing w:before="240" w:line="360" w:lineRule="auto"/>
        <w:ind w:left="709" w:hanging="709"/>
        <w:jc w:val="both"/>
        <w:rPr>
          <w:rFonts w:ascii="Times New Roman" w:hAnsi="Times New Roman" w:cs="Times New Roman"/>
          <w:sz w:val="22"/>
          <w:szCs w:val="22"/>
          <w:lang w:val="en-GB"/>
        </w:rPr>
      </w:pPr>
      <w:r w:rsidRPr="006D7DCA">
        <w:rPr>
          <w:rFonts w:ascii="Times New Roman" w:hAnsi="Times New Roman" w:cs="Times New Roman"/>
          <w:sz w:val="22"/>
          <w:szCs w:val="22"/>
        </w:rPr>
        <w:t xml:space="preserve">Vinueza-Fernández, I., Esparza, W., Martín-Rodríguez, A., &amp; Sánchez-Cajas, E. (2025). </w:t>
      </w:r>
      <w:r w:rsidRPr="006D7DCA">
        <w:rPr>
          <w:rFonts w:ascii="Times New Roman" w:hAnsi="Times New Roman" w:cs="Times New Roman"/>
          <w:sz w:val="22"/>
          <w:szCs w:val="22"/>
          <w:lang w:val="en-GB"/>
        </w:rPr>
        <w:t xml:space="preserve">Anxiety, Academic Performance, and Physical Activity in University Students: A Scoping Review. </w:t>
      </w:r>
      <w:r w:rsidRPr="006D7DCA">
        <w:rPr>
          <w:rFonts w:ascii="Times New Roman" w:hAnsi="Times New Roman" w:cs="Times New Roman"/>
          <w:i/>
          <w:iCs/>
          <w:sz w:val="22"/>
          <w:szCs w:val="22"/>
          <w:lang w:val="en-GB"/>
        </w:rPr>
        <w:t>European Journal of Investigation in Health, Psychology and Education, 15</w:t>
      </w:r>
      <w:r w:rsidRPr="006D7DCA">
        <w:rPr>
          <w:rFonts w:ascii="Times New Roman" w:hAnsi="Times New Roman" w:cs="Times New Roman"/>
          <w:sz w:val="22"/>
          <w:szCs w:val="22"/>
          <w:lang w:val="en-GB"/>
        </w:rPr>
        <w:t>(11), 231.</w:t>
      </w:r>
      <w:r w:rsidR="00A94EF3" w:rsidRPr="006D7DCA">
        <w:t xml:space="preserve"> </w:t>
      </w:r>
      <w:r w:rsidR="00A94EF3" w:rsidRPr="006D7DCA">
        <w:rPr>
          <w:rFonts w:ascii="Times New Roman" w:hAnsi="Times New Roman" w:cs="Times New Roman"/>
          <w:sz w:val="22"/>
          <w:szCs w:val="22"/>
          <w:lang w:val="en-GB"/>
        </w:rPr>
        <w:t>https://doi.org/10.3390/ejihpe15110231</w:t>
      </w:r>
    </w:p>
    <w:p w14:paraId="25286458" w14:textId="4676890D"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Vizcaino, M., Buman, M., DesRoches, C. T., &amp; Wharton, C. (2019). Reliability of a new measure to assess modern screen time in adults. </w:t>
      </w:r>
      <w:r w:rsidRPr="006D7DCA">
        <w:rPr>
          <w:rFonts w:ascii="Times New Roman" w:hAnsi="Times New Roman" w:cs="Times New Roman"/>
          <w:i/>
          <w:iCs/>
          <w:sz w:val="22"/>
          <w:szCs w:val="22"/>
          <w:lang w:val="en-US"/>
        </w:rPr>
        <w:t>BMC public health</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19</w:t>
      </w:r>
      <w:r w:rsidRPr="006D7DCA">
        <w:rPr>
          <w:rFonts w:ascii="Times New Roman" w:hAnsi="Times New Roman" w:cs="Times New Roman"/>
          <w:sz w:val="22"/>
          <w:szCs w:val="22"/>
          <w:lang w:val="en-US"/>
        </w:rPr>
        <w:t>(1), 1-8.</w:t>
      </w:r>
      <w:r w:rsidR="00A94EF3" w:rsidRPr="006D7DCA">
        <w:rPr>
          <w:rFonts w:ascii="Times New Roman" w:hAnsi="Times New Roman" w:cs="Times New Roman"/>
          <w:sz w:val="22"/>
          <w:szCs w:val="22"/>
          <w:lang w:val="en-US"/>
        </w:rPr>
        <w:t xml:space="preserve"> https://doi.org/10.1186/s12889-019-7745-6</w:t>
      </w:r>
    </w:p>
    <w:p w14:paraId="199E3965" w14:textId="3324C8B1"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eastAsia="Calibri" w:hAnsi="Times New Roman" w:cs="Times New Roman"/>
          <w:sz w:val="22"/>
          <w:szCs w:val="22"/>
          <w:lang w:val="en-US"/>
        </w:rPr>
        <w:t>Wang, C., Wen, W., Zhang, H., Ni, J., Jiang, J., Cheng, Y., ... &amp; Liu, W. (2021). Anxiety, depression, and stress prevalence among college students during the COVID-19 pandemic: A systematic review and meta-analysis. </w:t>
      </w:r>
      <w:r w:rsidRPr="006D7DCA">
        <w:rPr>
          <w:rFonts w:ascii="Times New Roman" w:eastAsia="Calibri" w:hAnsi="Times New Roman" w:cs="Times New Roman"/>
          <w:i/>
          <w:iCs/>
          <w:sz w:val="22"/>
          <w:szCs w:val="22"/>
          <w:lang w:val="en-US"/>
        </w:rPr>
        <w:t>Journal of American college health</w:t>
      </w:r>
      <w:r w:rsidRPr="006D7DCA">
        <w:rPr>
          <w:rFonts w:ascii="Times New Roman" w:eastAsia="Calibri" w:hAnsi="Times New Roman" w:cs="Times New Roman"/>
          <w:sz w:val="22"/>
          <w:szCs w:val="22"/>
          <w:lang w:val="en-US"/>
        </w:rPr>
        <w:t>, </w:t>
      </w:r>
      <w:r w:rsidRPr="006D7DCA">
        <w:rPr>
          <w:rFonts w:ascii="Times New Roman" w:eastAsia="Calibri" w:hAnsi="Times New Roman" w:cs="Times New Roman"/>
          <w:i/>
          <w:iCs/>
          <w:sz w:val="22"/>
          <w:szCs w:val="22"/>
          <w:lang w:val="en-US"/>
        </w:rPr>
        <w:t>71</w:t>
      </w:r>
      <w:r w:rsidRPr="006D7DCA">
        <w:rPr>
          <w:rFonts w:ascii="Times New Roman" w:eastAsia="Calibri" w:hAnsi="Times New Roman" w:cs="Times New Roman"/>
          <w:sz w:val="22"/>
          <w:szCs w:val="22"/>
          <w:lang w:val="en-US"/>
        </w:rPr>
        <w:t>(7), 2123-2130.</w:t>
      </w:r>
      <w:r w:rsidR="00A94EF3" w:rsidRPr="006D7DCA">
        <w:t xml:space="preserve"> </w:t>
      </w:r>
      <w:r w:rsidR="00A94EF3" w:rsidRPr="006D7DCA">
        <w:rPr>
          <w:rFonts w:ascii="Times New Roman" w:eastAsia="Calibri" w:hAnsi="Times New Roman" w:cs="Times New Roman"/>
          <w:sz w:val="22"/>
          <w:szCs w:val="22"/>
          <w:lang w:val="en-US"/>
        </w:rPr>
        <w:t>https://doi.org/10.1080/07448481.2021.1960849</w:t>
      </w:r>
    </w:p>
    <w:p w14:paraId="660C9EB9" w14:textId="6F543FDD" w:rsidR="008C46E8" w:rsidRPr="006D7DCA" w:rsidRDefault="008C46E8" w:rsidP="00181A0E">
      <w:pPr>
        <w:spacing w:before="240" w:line="360" w:lineRule="auto"/>
        <w:ind w:left="709" w:hanging="709"/>
        <w:jc w:val="both"/>
        <w:rPr>
          <w:rFonts w:ascii="Times New Roman" w:hAnsi="Times New Roman" w:cs="Times New Roman"/>
          <w:sz w:val="22"/>
          <w:szCs w:val="22"/>
          <w:lang w:val="en-US"/>
        </w:rPr>
      </w:pPr>
      <w:bookmarkStart w:id="7" w:name="_Hlk184835067"/>
      <w:r w:rsidRPr="006D7DCA">
        <w:rPr>
          <w:rFonts w:ascii="Times New Roman" w:hAnsi="Times New Roman" w:cs="Times New Roman"/>
          <w:sz w:val="22"/>
          <w:szCs w:val="22"/>
          <w:lang w:val="en-US"/>
        </w:rPr>
        <w:t>Wang, F., &amp; Bíró</w:t>
      </w:r>
      <w:bookmarkEnd w:id="7"/>
      <w:r w:rsidRPr="006D7DCA">
        <w:rPr>
          <w:rFonts w:ascii="Times New Roman" w:hAnsi="Times New Roman" w:cs="Times New Roman"/>
          <w:sz w:val="22"/>
          <w:szCs w:val="22"/>
          <w:lang w:val="en-US"/>
        </w:rPr>
        <w:t>, É. (2021). Determinants of sleep quality in college students: A literature review. </w:t>
      </w:r>
      <w:r w:rsidRPr="006D7DCA">
        <w:rPr>
          <w:rFonts w:ascii="Times New Roman" w:hAnsi="Times New Roman" w:cs="Times New Roman"/>
          <w:i/>
          <w:iCs/>
          <w:sz w:val="22"/>
          <w:szCs w:val="22"/>
          <w:lang w:val="en-US"/>
        </w:rPr>
        <w:t>Explore</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17</w:t>
      </w:r>
      <w:r w:rsidRPr="006D7DCA">
        <w:rPr>
          <w:rFonts w:ascii="Times New Roman" w:hAnsi="Times New Roman" w:cs="Times New Roman"/>
          <w:sz w:val="22"/>
          <w:szCs w:val="22"/>
          <w:lang w:val="en-US"/>
        </w:rPr>
        <w:t>(2), 170-177.</w:t>
      </w:r>
      <w:r w:rsidR="00A94EF3" w:rsidRPr="006D7DCA">
        <w:t xml:space="preserve"> </w:t>
      </w:r>
      <w:r w:rsidR="00A94EF3" w:rsidRPr="006D7DCA">
        <w:rPr>
          <w:rFonts w:ascii="Times New Roman" w:hAnsi="Times New Roman" w:cs="Times New Roman"/>
          <w:sz w:val="22"/>
          <w:szCs w:val="22"/>
          <w:lang w:val="en-US"/>
        </w:rPr>
        <w:t>https://doi.org/10.1016/j.explore.2020.11.003</w:t>
      </w:r>
    </w:p>
    <w:p w14:paraId="7E987BC9" w14:textId="64EE30FB" w:rsidR="00492FD3" w:rsidRPr="006D7DCA" w:rsidRDefault="00492FD3" w:rsidP="00181A0E">
      <w:pPr>
        <w:spacing w:before="240" w:line="360" w:lineRule="auto"/>
        <w:ind w:left="709" w:hanging="709"/>
        <w:jc w:val="both"/>
        <w:rPr>
          <w:rFonts w:ascii="Times New Roman" w:hAnsi="Times New Roman" w:cs="Times New Roman"/>
          <w:sz w:val="22"/>
          <w:szCs w:val="22"/>
          <w:lang w:val="en-US"/>
        </w:rPr>
      </w:pPr>
      <w:proofErr w:type="spellStart"/>
      <w:r w:rsidRPr="006D7DCA">
        <w:rPr>
          <w:rFonts w:ascii="Times New Roman" w:hAnsi="Times New Roman" w:cs="Times New Roman"/>
          <w:sz w:val="22"/>
          <w:szCs w:val="22"/>
          <w:lang w:val="en-US"/>
        </w:rPr>
        <w:t>Whatnall</w:t>
      </w:r>
      <w:proofErr w:type="spellEnd"/>
      <w:r w:rsidRPr="006D7DCA">
        <w:rPr>
          <w:rFonts w:ascii="Times New Roman" w:hAnsi="Times New Roman" w:cs="Times New Roman"/>
          <w:sz w:val="22"/>
          <w:szCs w:val="22"/>
          <w:lang w:val="en-US"/>
        </w:rPr>
        <w:t xml:space="preserve">, M., Ashton, L., Patterson, A., Smith, J., Duncan, M., Burrows, T., ... &amp; </w:t>
      </w:r>
      <w:proofErr w:type="spellStart"/>
      <w:r w:rsidRPr="006D7DCA">
        <w:rPr>
          <w:rFonts w:ascii="Times New Roman" w:hAnsi="Times New Roman" w:cs="Times New Roman"/>
          <w:sz w:val="22"/>
          <w:szCs w:val="22"/>
          <w:lang w:val="en-US"/>
        </w:rPr>
        <w:t>Hutchesson</w:t>
      </w:r>
      <w:proofErr w:type="spellEnd"/>
      <w:r w:rsidRPr="006D7DCA">
        <w:rPr>
          <w:rFonts w:ascii="Times New Roman" w:hAnsi="Times New Roman" w:cs="Times New Roman"/>
          <w:sz w:val="22"/>
          <w:szCs w:val="22"/>
          <w:lang w:val="en-US"/>
        </w:rPr>
        <w:t>, M. (2024). Are health behaviors associated with academic performance among tertiary education students</w:t>
      </w:r>
      <w:r w:rsidRPr="006D7DCA">
        <w:rPr>
          <w:rFonts w:ascii="Times New Roman" w:hAnsi="Times New Roman" w:cs="Times New Roman"/>
          <w:i/>
          <w:iCs/>
          <w:sz w:val="22"/>
          <w:szCs w:val="22"/>
          <w:lang w:val="en-US"/>
        </w:rPr>
        <w:t xml:space="preserve">? A systematic review of cohort studies. Journal of </w:t>
      </w:r>
      <w:proofErr w:type="spellStart"/>
      <w:r w:rsidRPr="006D7DCA">
        <w:rPr>
          <w:rFonts w:ascii="Times New Roman" w:hAnsi="Times New Roman" w:cs="Times New Roman"/>
          <w:i/>
          <w:iCs/>
          <w:sz w:val="22"/>
          <w:szCs w:val="22"/>
          <w:lang w:val="en-US"/>
        </w:rPr>
        <w:t>american</w:t>
      </w:r>
      <w:proofErr w:type="spellEnd"/>
      <w:r w:rsidRPr="006D7DCA">
        <w:rPr>
          <w:rFonts w:ascii="Times New Roman" w:hAnsi="Times New Roman" w:cs="Times New Roman"/>
          <w:i/>
          <w:iCs/>
          <w:sz w:val="22"/>
          <w:szCs w:val="22"/>
          <w:lang w:val="en-US"/>
        </w:rPr>
        <w:t xml:space="preserve"> college </w:t>
      </w:r>
      <w:proofErr w:type="spellStart"/>
      <w:r w:rsidRPr="006D7DCA">
        <w:rPr>
          <w:rFonts w:ascii="Times New Roman" w:hAnsi="Times New Roman" w:cs="Times New Roman"/>
          <w:i/>
          <w:iCs/>
          <w:sz w:val="22"/>
          <w:szCs w:val="22"/>
          <w:lang w:val="en-US"/>
        </w:rPr>
        <w:t>HealtH</w:t>
      </w:r>
      <w:proofErr w:type="spellEnd"/>
      <w:r w:rsidRPr="006D7DCA">
        <w:rPr>
          <w:rFonts w:ascii="Times New Roman" w:hAnsi="Times New Roman" w:cs="Times New Roman"/>
          <w:i/>
          <w:iCs/>
          <w:sz w:val="22"/>
          <w:szCs w:val="22"/>
          <w:lang w:val="en-US"/>
        </w:rPr>
        <w:t>, 72</w:t>
      </w:r>
      <w:r w:rsidRPr="006D7DCA">
        <w:rPr>
          <w:rFonts w:ascii="Times New Roman" w:hAnsi="Times New Roman" w:cs="Times New Roman"/>
          <w:sz w:val="22"/>
          <w:szCs w:val="22"/>
          <w:lang w:val="en-US"/>
        </w:rPr>
        <w:t>(3), 957-969.</w:t>
      </w:r>
      <w:r w:rsidR="00A94EF3" w:rsidRPr="006D7DCA">
        <w:t xml:space="preserve"> </w:t>
      </w:r>
      <w:r w:rsidR="00A94EF3" w:rsidRPr="006D7DCA">
        <w:rPr>
          <w:rFonts w:ascii="Times New Roman" w:hAnsi="Times New Roman" w:cs="Times New Roman"/>
          <w:sz w:val="22"/>
          <w:szCs w:val="22"/>
          <w:lang w:val="en-US"/>
        </w:rPr>
        <w:t>https://doi.org/10.1080/07448481.2022.2063024</w:t>
      </w:r>
    </w:p>
    <w:p w14:paraId="524B8619" w14:textId="227EC643" w:rsidR="008C46E8" w:rsidRPr="006D7DCA" w:rsidRDefault="008C46E8" w:rsidP="00181A0E">
      <w:pPr>
        <w:spacing w:before="240" w:line="360" w:lineRule="auto"/>
        <w:ind w:left="709" w:hanging="709"/>
        <w:jc w:val="both"/>
        <w:rPr>
          <w:rFonts w:ascii="Times New Roman" w:hAnsi="Times New Roman" w:cs="Times New Roman"/>
          <w:sz w:val="22"/>
          <w:szCs w:val="22"/>
          <w:lang w:val="en-GB"/>
        </w:rPr>
      </w:pPr>
      <w:r w:rsidRPr="006D7DCA">
        <w:rPr>
          <w:rFonts w:ascii="Times New Roman" w:hAnsi="Times New Roman" w:cs="Times New Roman"/>
          <w:sz w:val="22"/>
          <w:szCs w:val="22"/>
          <w:lang w:val="en-GB"/>
        </w:rPr>
        <w:t xml:space="preserve">World Health Organization. (2020). </w:t>
      </w:r>
      <w:r w:rsidRPr="006D7DCA">
        <w:rPr>
          <w:rFonts w:ascii="Times New Roman" w:hAnsi="Times New Roman" w:cs="Times New Roman"/>
          <w:i/>
          <w:iCs/>
          <w:sz w:val="22"/>
          <w:szCs w:val="22"/>
          <w:lang w:val="en-GB"/>
        </w:rPr>
        <w:t>Mental health and psychosocial considerations during the COVID-19 outbreak, 18 March 2020</w:t>
      </w:r>
      <w:r w:rsidRPr="006D7DCA">
        <w:rPr>
          <w:rFonts w:ascii="Times New Roman" w:hAnsi="Times New Roman" w:cs="Times New Roman"/>
          <w:sz w:val="22"/>
          <w:szCs w:val="22"/>
          <w:lang w:val="en-GB"/>
        </w:rPr>
        <w:t>. World Health Organization</w:t>
      </w:r>
      <w:r w:rsidR="00492FD3" w:rsidRPr="006D7DCA">
        <w:rPr>
          <w:rFonts w:ascii="Times New Roman" w:hAnsi="Times New Roman" w:cs="Times New Roman"/>
          <w:sz w:val="22"/>
          <w:szCs w:val="22"/>
          <w:lang w:val="en-GB"/>
        </w:rPr>
        <w:t>.</w:t>
      </w:r>
    </w:p>
    <w:p w14:paraId="3B73F861" w14:textId="518EE2EF" w:rsidR="00492FD3" w:rsidRPr="006D7DCA" w:rsidRDefault="00492FD3" w:rsidP="00181A0E">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US"/>
        </w:rPr>
        <w:t xml:space="preserve">Wunsch, K., Fiedler, J., Bachert, P., &amp; Woll, A. (2021). The </w:t>
      </w:r>
      <w:proofErr w:type="spellStart"/>
      <w:r w:rsidRPr="006D7DCA">
        <w:rPr>
          <w:rFonts w:ascii="Times New Roman" w:hAnsi="Times New Roman" w:cs="Times New Roman"/>
          <w:sz w:val="22"/>
          <w:szCs w:val="22"/>
          <w:lang w:val="en-US"/>
        </w:rPr>
        <w:t>tridirectional</w:t>
      </w:r>
      <w:proofErr w:type="spellEnd"/>
      <w:r w:rsidRPr="006D7DCA">
        <w:rPr>
          <w:rFonts w:ascii="Times New Roman" w:hAnsi="Times New Roman" w:cs="Times New Roman"/>
          <w:sz w:val="22"/>
          <w:szCs w:val="22"/>
          <w:lang w:val="en-US"/>
        </w:rPr>
        <w:t xml:space="preserve"> relationship among physical activity, stress, and academic performance in university students: a systematic review and meta-analysis. </w:t>
      </w:r>
      <w:r w:rsidRPr="006D7DCA">
        <w:rPr>
          <w:rFonts w:ascii="Times New Roman" w:hAnsi="Times New Roman" w:cs="Times New Roman"/>
          <w:i/>
          <w:iCs/>
          <w:sz w:val="22"/>
          <w:szCs w:val="22"/>
          <w:lang w:val="en-US"/>
        </w:rPr>
        <w:t>International journal of environmental research and public health, 18</w:t>
      </w:r>
      <w:r w:rsidRPr="006D7DCA">
        <w:rPr>
          <w:rFonts w:ascii="Times New Roman" w:hAnsi="Times New Roman" w:cs="Times New Roman"/>
          <w:sz w:val="22"/>
          <w:szCs w:val="22"/>
          <w:lang w:val="en-US"/>
        </w:rPr>
        <w:t>(2), 739.</w:t>
      </w:r>
      <w:r w:rsidR="00A94EF3" w:rsidRPr="006D7DCA">
        <w:t xml:space="preserve"> </w:t>
      </w:r>
      <w:r w:rsidR="00A94EF3" w:rsidRPr="006D7DCA">
        <w:rPr>
          <w:rFonts w:ascii="Times New Roman" w:hAnsi="Times New Roman" w:cs="Times New Roman"/>
          <w:sz w:val="22"/>
          <w:szCs w:val="22"/>
          <w:lang w:val="en-US"/>
        </w:rPr>
        <w:t>https://doi.org/10.3390/ijerph18020739</w:t>
      </w:r>
    </w:p>
    <w:p w14:paraId="48949AD9" w14:textId="7C655065" w:rsidR="00DD02B6" w:rsidRPr="006D7DCA" w:rsidRDefault="008C46E8" w:rsidP="00A94EF3">
      <w:pPr>
        <w:spacing w:before="240" w:line="360" w:lineRule="auto"/>
        <w:ind w:left="709" w:hanging="709"/>
        <w:jc w:val="both"/>
        <w:rPr>
          <w:rFonts w:ascii="Times New Roman" w:hAnsi="Times New Roman" w:cs="Times New Roman"/>
          <w:sz w:val="22"/>
          <w:szCs w:val="22"/>
          <w:lang w:val="en-US"/>
        </w:rPr>
      </w:pPr>
      <w:r w:rsidRPr="006D7DCA">
        <w:rPr>
          <w:rFonts w:ascii="Times New Roman" w:hAnsi="Times New Roman" w:cs="Times New Roman"/>
          <w:sz w:val="22"/>
          <w:szCs w:val="22"/>
          <w:lang w:val="en-GB"/>
        </w:rPr>
        <w:t>Zhang, Y. T., Huang, T., Zhou, F., Huang, A. D., Ji, X. Q., He, L., ... &amp; Cheng, J. (2022). Correlation between anxiety, depression, and sleep quality in college students. </w:t>
      </w:r>
      <w:r w:rsidRPr="006D7DCA">
        <w:rPr>
          <w:rFonts w:ascii="Times New Roman" w:hAnsi="Times New Roman" w:cs="Times New Roman"/>
          <w:i/>
          <w:iCs/>
          <w:sz w:val="22"/>
          <w:szCs w:val="22"/>
          <w:lang w:val="en-US"/>
        </w:rPr>
        <w:t>Biomed Environ Sci</w:t>
      </w:r>
      <w:r w:rsidRPr="006D7DCA">
        <w:rPr>
          <w:rFonts w:ascii="Times New Roman" w:hAnsi="Times New Roman" w:cs="Times New Roman"/>
          <w:sz w:val="22"/>
          <w:szCs w:val="22"/>
          <w:lang w:val="en-US"/>
        </w:rPr>
        <w:t>, </w:t>
      </w:r>
      <w:r w:rsidRPr="006D7DCA">
        <w:rPr>
          <w:rFonts w:ascii="Times New Roman" w:hAnsi="Times New Roman" w:cs="Times New Roman"/>
          <w:i/>
          <w:iCs/>
          <w:sz w:val="22"/>
          <w:szCs w:val="22"/>
          <w:lang w:val="en-US"/>
        </w:rPr>
        <w:t>35</w:t>
      </w:r>
      <w:r w:rsidRPr="006D7DCA">
        <w:rPr>
          <w:rFonts w:ascii="Times New Roman" w:hAnsi="Times New Roman" w:cs="Times New Roman"/>
          <w:sz w:val="22"/>
          <w:szCs w:val="22"/>
          <w:lang w:val="en-US"/>
        </w:rPr>
        <w:t xml:space="preserve">(7), 648-651. </w:t>
      </w:r>
      <w:r w:rsidR="00A94EF3" w:rsidRPr="006D7DCA">
        <w:rPr>
          <w:rFonts w:ascii="Times New Roman" w:hAnsi="Times New Roman" w:cs="Times New Roman"/>
          <w:sz w:val="22"/>
          <w:szCs w:val="22"/>
          <w:lang w:val="en-US"/>
        </w:rPr>
        <w:t>https://doi.org/10.3967/bes2022.084</w:t>
      </w:r>
    </w:p>
    <w:bookmarkEnd w:id="4"/>
    <w:p w14:paraId="2D685958" w14:textId="2A06EADE" w:rsidR="00484F20" w:rsidRPr="006D7DCA" w:rsidRDefault="00484F20" w:rsidP="00A94EF3">
      <w:pPr>
        <w:spacing w:before="240" w:line="360" w:lineRule="auto"/>
        <w:jc w:val="both"/>
        <w:rPr>
          <w:rFonts w:ascii="Times New Roman" w:hAnsi="Times New Roman" w:cs="Times New Roman"/>
          <w:sz w:val="20"/>
          <w:szCs w:val="20"/>
        </w:rPr>
      </w:pPr>
    </w:p>
    <w:sectPr w:rsidR="00484F20" w:rsidRPr="006D7DCA">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Merriweather Sans">
    <w:charset w:val="00"/>
    <w:family w:val="auto"/>
    <w:pitch w:val="variable"/>
    <w:sig w:usb0="A00004FF" w:usb1="4000207B" w:usb2="00000000" w:usb3="00000000" w:csb0="00000193"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A1532"/>
    <w:multiLevelType w:val="hybridMultilevel"/>
    <w:tmpl w:val="C7603520"/>
    <w:lvl w:ilvl="0" w:tplc="0C0A000B">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 w15:restartNumberingAfterBreak="0">
    <w:nsid w:val="48BD4453"/>
    <w:multiLevelType w:val="hybridMultilevel"/>
    <w:tmpl w:val="C0E828D6"/>
    <w:lvl w:ilvl="0" w:tplc="97F895D4">
      <w:numFmt w:val="bullet"/>
      <w:lvlText w:val="-"/>
      <w:lvlJc w:val="left"/>
      <w:pPr>
        <w:ind w:left="720" w:hanging="360"/>
      </w:pPr>
      <w:rPr>
        <w:rFonts w:ascii="Times New Roman" w:eastAsia="Calibr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 w15:restartNumberingAfterBreak="0">
    <w:nsid w:val="653618D8"/>
    <w:multiLevelType w:val="multilevel"/>
    <w:tmpl w:val="80F83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82767EB"/>
    <w:multiLevelType w:val="hybridMultilevel"/>
    <w:tmpl w:val="F48089FE"/>
    <w:lvl w:ilvl="0" w:tplc="97F895D4">
      <w:numFmt w:val="bullet"/>
      <w:lvlText w:val="-"/>
      <w:lvlJc w:val="left"/>
      <w:pPr>
        <w:ind w:left="720" w:hanging="360"/>
      </w:pPr>
      <w:rPr>
        <w:rFonts w:ascii="Times New Roman" w:eastAsia="Calibr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num w:numId="1" w16cid:durableId="33777222">
    <w:abstractNumId w:val="2"/>
  </w:num>
  <w:num w:numId="2" w16cid:durableId="394011782">
    <w:abstractNumId w:val="0"/>
  </w:num>
  <w:num w:numId="3" w16cid:durableId="1897665272">
    <w:abstractNumId w:val="1"/>
  </w:num>
  <w:num w:numId="4" w16cid:durableId="161952795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555"/>
    <w:rsid w:val="000028B6"/>
    <w:rsid w:val="000213A2"/>
    <w:rsid w:val="000312FC"/>
    <w:rsid w:val="00031D24"/>
    <w:rsid w:val="0004217B"/>
    <w:rsid w:val="00052BDA"/>
    <w:rsid w:val="00054945"/>
    <w:rsid w:val="00081BB9"/>
    <w:rsid w:val="0008699E"/>
    <w:rsid w:val="000A32FD"/>
    <w:rsid w:val="000B3ED4"/>
    <w:rsid w:val="000C45B2"/>
    <w:rsid w:val="000C6C8D"/>
    <w:rsid w:val="000D6D8F"/>
    <w:rsid w:val="000E2082"/>
    <w:rsid w:val="000E6BF7"/>
    <w:rsid w:val="000F26BC"/>
    <w:rsid w:val="000F2F06"/>
    <w:rsid w:val="000F308E"/>
    <w:rsid w:val="000F353E"/>
    <w:rsid w:val="00130A9B"/>
    <w:rsid w:val="0013743C"/>
    <w:rsid w:val="001506F4"/>
    <w:rsid w:val="00151235"/>
    <w:rsid w:val="0015785F"/>
    <w:rsid w:val="00162955"/>
    <w:rsid w:val="00166475"/>
    <w:rsid w:val="00171BC2"/>
    <w:rsid w:val="00180CD2"/>
    <w:rsid w:val="00181A0E"/>
    <w:rsid w:val="00182CAA"/>
    <w:rsid w:val="00196139"/>
    <w:rsid w:val="00197DDE"/>
    <w:rsid w:val="001A1A4B"/>
    <w:rsid w:val="001A1BD7"/>
    <w:rsid w:val="001A3829"/>
    <w:rsid w:val="001B4165"/>
    <w:rsid w:val="001B7AE6"/>
    <w:rsid w:val="001F43C0"/>
    <w:rsid w:val="001F5C40"/>
    <w:rsid w:val="00234A52"/>
    <w:rsid w:val="002470AE"/>
    <w:rsid w:val="0025451C"/>
    <w:rsid w:val="00260005"/>
    <w:rsid w:val="00270952"/>
    <w:rsid w:val="0028738D"/>
    <w:rsid w:val="00287F7B"/>
    <w:rsid w:val="002A5AFD"/>
    <w:rsid w:val="002B10DD"/>
    <w:rsid w:val="002B179C"/>
    <w:rsid w:val="002C0477"/>
    <w:rsid w:val="002C4418"/>
    <w:rsid w:val="002C61DC"/>
    <w:rsid w:val="002D0C40"/>
    <w:rsid w:val="002D65FA"/>
    <w:rsid w:val="002E58DD"/>
    <w:rsid w:val="002F27A1"/>
    <w:rsid w:val="002F28F1"/>
    <w:rsid w:val="002F3BD0"/>
    <w:rsid w:val="00307BC9"/>
    <w:rsid w:val="00312B50"/>
    <w:rsid w:val="00313DB7"/>
    <w:rsid w:val="00326ABF"/>
    <w:rsid w:val="00342FB7"/>
    <w:rsid w:val="003446A0"/>
    <w:rsid w:val="00353328"/>
    <w:rsid w:val="00361BCF"/>
    <w:rsid w:val="00366526"/>
    <w:rsid w:val="0037468C"/>
    <w:rsid w:val="00382DFC"/>
    <w:rsid w:val="003842C0"/>
    <w:rsid w:val="0038436E"/>
    <w:rsid w:val="00384931"/>
    <w:rsid w:val="003A314C"/>
    <w:rsid w:val="003C41EA"/>
    <w:rsid w:val="003F4931"/>
    <w:rsid w:val="003F5F07"/>
    <w:rsid w:val="003F771F"/>
    <w:rsid w:val="00420676"/>
    <w:rsid w:val="00423E70"/>
    <w:rsid w:val="00425299"/>
    <w:rsid w:val="00426C45"/>
    <w:rsid w:val="0043693A"/>
    <w:rsid w:val="00445E88"/>
    <w:rsid w:val="00454726"/>
    <w:rsid w:val="00462B12"/>
    <w:rsid w:val="00472F30"/>
    <w:rsid w:val="004736D0"/>
    <w:rsid w:val="00476692"/>
    <w:rsid w:val="00484F20"/>
    <w:rsid w:val="00492295"/>
    <w:rsid w:val="00492FD3"/>
    <w:rsid w:val="00494801"/>
    <w:rsid w:val="004B1BE8"/>
    <w:rsid w:val="004B710E"/>
    <w:rsid w:val="004C32D1"/>
    <w:rsid w:val="00500C71"/>
    <w:rsid w:val="00510C2E"/>
    <w:rsid w:val="005134BE"/>
    <w:rsid w:val="0052003B"/>
    <w:rsid w:val="00527534"/>
    <w:rsid w:val="005375DD"/>
    <w:rsid w:val="00543360"/>
    <w:rsid w:val="0055473C"/>
    <w:rsid w:val="00564664"/>
    <w:rsid w:val="00564F63"/>
    <w:rsid w:val="00570BD1"/>
    <w:rsid w:val="005770C9"/>
    <w:rsid w:val="005772E7"/>
    <w:rsid w:val="0058345F"/>
    <w:rsid w:val="00583C1B"/>
    <w:rsid w:val="005850AE"/>
    <w:rsid w:val="00591DD0"/>
    <w:rsid w:val="00593412"/>
    <w:rsid w:val="00593EC2"/>
    <w:rsid w:val="005945B9"/>
    <w:rsid w:val="00597240"/>
    <w:rsid w:val="005A0E08"/>
    <w:rsid w:val="005A1E33"/>
    <w:rsid w:val="005B24BA"/>
    <w:rsid w:val="005B40B4"/>
    <w:rsid w:val="005C5BFE"/>
    <w:rsid w:val="005D4922"/>
    <w:rsid w:val="005F3FC9"/>
    <w:rsid w:val="005F5B66"/>
    <w:rsid w:val="00601615"/>
    <w:rsid w:val="00607FF8"/>
    <w:rsid w:val="006129CE"/>
    <w:rsid w:val="0061474D"/>
    <w:rsid w:val="006178EA"/>
    <w:rsid w:val="006216C1"/>
    <w:rsid w:val="00622432"/>
    <w:rsid w:val="006270A8"/>
    <w:rsid w:val="00641C54"/>
    <w:rsid w:val="00646185"/>
    <w:rsid w:val="00646FEB"/>
    <w:rsid w:val="00652AAD"/>
    <w:rsid w:val="006734DA"/>
    <w:rsid w:val="00675AD4"/>
    <w:rsid w:val="006A7559"/>
    <w:rsid w:val="006C5CC1"/>
    <w:rsid w:val="006D15BC"/>
    <w:rsid w:val="006D7DCA"/>
    <w:rsid w:val="006E203F"/>
    <w:rsid w:val="006F42E8"/>
    <w:rsid w:val="00715734"/>
    <w:rsid w:val="0072070A"/>
    <w:rsid w:val="007265D7"/>
    <w:rsid w:val="00727170"/>
    <w:rsid w:val="00747FB3"/>
    <w:rsid w:val="0075612B"/>
    <w:rsid w:val="00761FD5"/>
    <w:rsid w:val="00763411"/>
    <w:rsid w:val="00764A55"/>
    <w:rsid w:val="00764B19"/>
    <w:rsid w:val="00765B5D"/>
    <w:rsid w:val="00770E4F"/>
    <w:rsid w:val="007769CD"/>
    <w:rsid w:val="00787ABA"/>
    <w:rsid w:val="00790CCF"/>
    <w:rsid w:val="007A5B64"/>
    <w:rsid w:val="007A70FB"/>
    <w:rsid w:val="007B2C8A"/>
    <w:rsid w:val="007F1A96"/>
    <w:rsid w:val="007F220F"/>
    <w:rsid w:val="007F2C0A"/>
    <w:rsid w:val="007F5231"/>
    <w:rsid w:val="0081020F"/>
    <w:rsid w:val="00825212"/>
    <w:rsid w:val="008276B1"/>
    <w:rsid w:val="00843598"/>
    <w:rsid w:val="00862C04"/>
    <w:rsid w:val="008727DF"/>
    <w:rsid w:val="00880A8D"/>
    <w:rsid w:val="00883915"/>
    <w:rsid w:val="00887545"/>
    <w:rsid w:val="008922B6"/>
    <w:rsid w:val="008A1D97"/>
    <w:rsid w:val="008A4046"/>
    <w:rsid w:val="008C46E8"/>
    <w:rsid w:val="008D2B02"/>
    <w:rsid w:val="008D4A02"/>
    <w:rsid w:val="008D5A1A"/>
    <w:rsid w:val="00910C22"/>
    <w:rsid w:val="009223F0"/>
    <w:rsid w:val="00933194"/>
    <w:rsid w:val="0093325B"/>
    <w:rsid w:val="00933318"/>
    <w:rsid w:val="00933770"/>
    <w:rsid w:val="009752D7"/>
    <w:rsid w:val="00987FFD"/>
    <w:rsid w:val="009B223A"/>
    <w:rsid w:val="009B57EC"/>
    <w:rsid w:val="009C3E51"/>
    <w:rsid w:val="009D3BE3"/>
    <w:rsid w:val="009E72CC"/>
    <w:rsid w:val="009E7AD3"/>
    <w:rsid w:val="009F6F27"/>
    <w:rsid w:val="00A01BE9"/>
    <w:rsid w:val="00A2511C"/>
    <w:rsid w:val="00A41C7D"/>
    <w:rsid w:val="00A5740C"/>
    <w:rsid w:val="00A62596"/>
    <w:rsid w:val="00A64FB8"/>
    <w:rsid w:val="00A704D3"/>
    <w:rsid w:val="00A732F1"/>
    <w:rsid w:val="00A93767"/>
    <w:rsid w:val="00A9429D"/>
    <w:rsid w:val="00A94EF3"/>
    <w:rsid w:val="00A95102"/>
    <w:rsid w:val="00AB015B"/>
    <w:rsid w:val="00AB457C"/>
    <w:rsid w:val="00AB7045"/>
    <w:rsid w:val="00AB71AB"/>
    <w:rsid w:val="00AC17B8"/>
    <w:rsid w:val="00AC3897"/>
    <w:rsid w:val="00AC44A9"/>
    <w:rsid w:val="00AC4723"/>
    <w:rsid w:val="00AC4BB0"/>
    <w:rsid w:val="00AD2D2A"/>
    <w:rsid w:val="00AE13F7"/>
    <w:rsid w:val="00AF586C"/>
    <w:rsid w:val="00B06B40"/>
    <w:rsid w:val="00B224FF"/>
    <w:rsid w:val="00B22F0B"/>
    <w:rsid w:val="00B402E6"/>
    <w:rsid w:val="00B548D7"/>
    <w:rsid w:val="00B557E9"/>
    <w:rsid w:val="00B76BC1"/>
    <w:rsid w:val="00B9375A"/>
    <w:rsid w:val="00B97A89"/>
    <w:rsid w:val="00BA19EB"/>
    <w:rsid w:val="00BE2A28"/>
    <w:rsid w:val="00BE59DD"/>
    <w:rsid w:val="00BF180D"/>
    <w:rsid w:val="00BF7C71"/>
    <w:rsid w:val="00C245B1"/>
    <w:rsid w:val="00C4166F"/>
    <w:rsid w:val="00C45577"/>
    <w:rsid w:val="00C508CB"/>
    <w:rsid w:val="00C530B3"/>
    <w:rsid w:val="00C63008"/>
    <w:rsid w:val="00C653CB"/>
    <w:rsid w:val="00C66A84"/>
    <w:rsid w:val="00C67825"/>
    <w:rsid w:val="00C77134"/>
    <w:rsid w:val="00C870E6"/>
    <w:rsid w:val="00C90032"/>
    <w:rsid w:val="00C90F24"/>
    <w:rsid w:val="00CA2715"/>
    <w:rsid w:val="00CC2C9E"/>
    <w:rsid w:val="00CD3954"/>
    <w:rsid w:val="00CF7C53"/>
    <w:rsid w:val="00D05D36"/>
    <w:rsid w:val="00D06D26"/>
    <w:rsid w:val="00D20B8D"/>
    <w:rsid w:val="00D234F0"/>
    <w:rsid w:val="00D246A9"/>
    <w:rsid w:val="00D27182"/>
    <w:rsid w:val="00D31E4A"/>
    <w:rsid w:val="00D43F62"/>
    <w:rsid w:val="00D441C1"/>
    <w:rsid w:val="00D47E6E"/>
    <w:rsid w:val="00D51A11"/>
    <w:rsid w:val="00D605FC"/>
    <w:rsid w:val="00D63C81"/>
    <w:rsid w:val="00D65F45"/>
    <w:rsid w:val="00D66643"/>
    <w:rsid w:val="00D7276D"/>
    <w:rsid w:val="00D8412B"/>
    <w:rsid w:val="00D904E0"/>
    <w:rsid w:val="00D905C6"/>
    <w:rsid w:val="00D92B12"/>
    <w:rsid w:val="00D96C80"/>
    <w:rsid w:val="00DA2A9B"/>
    <w:rsid w:val="00DA7A72"/>
    <w:rsid w:val="00DB1234"/>
    <w:rsid w:val="00DB2558"/>
    <w:rsid w:val="00DC7B73"/>
    <w:rsid w:val="00DD02B6"/>
    <w:rsid w:val="00DD4403"/>
    <w:rsid w:val="00DD669A"/>
    <w:rsid w:val="00DE20A0"/>
    <w:rsid w:val="00DE401D"/>
    <w:rsid w:val="00DE6840"/>
    <w:rsid w:val="00E03542"/>
    <w:rsid w:val="00E1033F"/>
    <w:rsid w:val="00E11DC4"/>
    <w:rsid w:val="00E15BD7"/>
    <w:rsid w:val="00E24266"/>
    <w:rsid w:val="00E27FBB"/>
    <w:rsid w:val="00E34555"/>
    <w:rsid w:val="00E3504C"/>
    <w:rsid w:val="00E46B9C"/>
    <w:rsid w:val="00E62AEE"/>
    <w:rsid w:val="00E70E28"/>
    <w:rsid w:val="00E829F8"/>
    <w:rsid w:val="00E83BA5"/>
    <w:rsid w:val="00E94520"/>
    <w:rsid w:val="00EA0A77"/>
    <w:rsid w:val="00EA181E"/>
    <w:rsid w:val="00EF1C04"/>
    <w:rsid w:val="00EF3CDA"/>
    <w:rsid w:val="00EF3E40"/>
    <w:rsid w:val="00EF69F5"/>
    <w:rsid w:val="00F01D25"/>
    <w:rsid w:val="00F12A59"/>
    <w:rsid w:val="00F17934"/>
    <w:rsid w:val="00F23C5D"/>
    <w:rsid w:val="00F40AFE"/>
    <w:rsid w:val="00F51426"/>
    <w:rsid w:val="00F541DF"/>
    <w:rsid w:val="00F61C2B"/>
    <w:rsid w:val="00F74959"/>
    <w:rsid w:val="00F91652"/>
    <w:rsid w:val="00F974EA"/>
    <w:rsid w:val="00FA76E4"/>
    <w:rsid w:val="00FC1501"/>
    <w:rsid w:val="00FC37B7"/>
    <w:rsid w:val="00FD355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5F6B1A"/>
  <w15:chartTrackingRefBased/>
  <w15:docId w15:val="{D7E08742-E534-4264-8AF4-02739422F9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E3455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E3455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E3455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E3455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E3455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E3455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E3455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E3455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E34555"/>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3455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3455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3455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rsid w:val="00E3455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3455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3455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3455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3455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34555"/>
    <w:rPr>
      <w:rFonts w:eastAsiaTheme="majorEastAsia" w:cstheme="majorBidi"/>
      <w:color w:val="272727" w:themeColor="text1" w:themeTint="D8"/>
    </w:rPr>
  </w:style>
  <w:style w:type="paragraph" w:styleId="Ttulo">
    <w:name w:val="Title"/>
    <w:basedOn w:val="Normal"/>
    <w:next w:val="Normal"/>
    <w:link w:val="TtuloCar"/>
    <w:uiPriority w:val="10"/>
    <w:qFormat/>
    <w:rsid w:val="00E3455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3455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34555"/>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E3455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34555"/>
    <w:pPr>
      <w:spacing w:before="160"/>
      <w:jc w:val="center"/>
    </w:pPr>
    <w:rPr>
      <w:i/>
      <w:iCs/>
      <w:color w:val="404040" w:themeColor="text1" w:themeTint="BF"/>
    </w:rPr>
  </w:style>
  <w:style w:type="character" w:customStyle="1" w:styleId="CitaCar">
    <w:name w:val="Cita Car"/>
    <w:basedOn w:val="Fuentedeprrafopredeter"/>
    <w:link w:val="Cita"/>
    <w:uiPriority w:val="29"/>
    <w:rsid w:val="00E34555"/>
    <w:rPr>
      <w:i/>
      <w:iCs/>
      <w:color w:val="404040" w:themeColor="text1" w:themeTint="BF"/>
    </w:rPr>
  </w:style>
  <w:style w:type="paragraph" w:styleId="Prrafodelista">
    <w:name w:val="List Paragraph"/>
    <w:basedOn w:val="Normal"/>
    <w:uiPriority w:val="34"/>
    <w:qFormat/>
    <w:rsid w:val="00E34555"/>
    <w:pPr>
      <w:ind w:left="720"/>
      <w:contextualSpacing/>
    </w:pPr>
  </w:style>
  <w:style w:type="character" w:styleId="nfasisintenso">
    <w:name w:val="Intense Emphasis"/>
    <w:basedOn w:val="Fuentedeprrafopredeter"/>
    <w:uiPriority w:val="21"/>
    <w:qFormat/>
    <w:rsid w:val="00E34555"/>
    <w:rPr>
      <w:i/>
      <w:iCs/>
      <w:color w:val="0F4761" w:themeColor="accent1" w:themeShade="BF"/>
    </w:rPr>
  </w:style>
  <w:style w:type="paragraph" w:styleId="Citadestacada">
    <w:name w:val="Intense Quote"/>
    <w:basedOn w:val="Normal"/>
    <w:next w:val="Normal"/>
    <w:link w:val="CitadestacadaCar"/>
    <w:uiPriority w:val="30"/>
    <w:qFormat/>
    <w:rsid w:val="00E3455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E34555"/>
    <w:rPr>
      <w:i/>
      <w:iCs/>
      <w:color w:val="0F4761" w:themeColor="accent1" w:themeShade="BF"/>
    </w:rPr>
  </w:style>
  <w:style w:type="character" w:styleId="Referenciaintensa">
    <w:name w:val="Intense Reference"/>
    <w:basedOn w:val="Fuentedeprrafopredeter"/>
    <w:uiPriority w:val="32"/>
    <w:qFormat/>
    <w:rsid w:val="00E34555"/>
    <w:rPr>
      <w:b/>
      <w:bCs/>
      <w:smallCaps/>
      <w:color w:val="0F4761" w:themeColor="accent1" w:themeShade="BF"/>
      <w:spacing w:val="5"/>
    </w:rPr>
  </w:style>
  <w:style w:type="character" w:styleId="Hipervnculo">
    <w:name w:val="Hyperlink"/>
    <w:basedOn w:val="Fuentedeprrafopredeter"/>
    <w:uiPriority w:val="99"/>
    <w:unhideWhenUsed/>
    <w:rsid w:val="001F43C0"/>
    <w:rPr>
      <w:color w:val="467886" w:themeColor="hyperlink"/>
      <w:u w:val="single"/>
    </w:rPr>
  </w:style>
  <w:style w:type="character" w:styleId="Mencinsinresolver">
    <w:name w:val="Unresolved Mention"/>
    <w:basedOn w:val="Fuentedeprrafopredeter"/>
    <w:uiPriority w:val="99"/>
    <w:semiHidden/>
    <w:unhideWhenUsed/>
    <w:rsid w:val="001F43C0"/>
    <w:rPr>
      <w:color w:val="605E5C"/>
      <w:shd w:val="clear" w:color="auto" w:fill="E1DFDD"/>
    </w:rPr>
  </w:style>
  <w:style w:type="numbering" w:customStyle="1" w:styleId="Sinlista1">
    <w:name w:val="Sin lista1"/>
    <w:next w:val="Sinlista"/>
    <w:uiPriority w:val="99"/>
    <w:semiHidden/>
    <w:unhideWhenUsed/>
    <w:rsid w:val="00171BC2"/>
  </w:style>
  <w:style w:type="character" w:customStyle="1" w:styleId="Hipervnculovisitado1">
    <w:name w:val="Hipervínculo visitado1"/>
    <w:basedOn w:val="Fuentedeprrafopredeter"/>
    <w:uiPriority w:val="99"/>
    <w:semiHidden/>
    <w:unhideWhenUsed/>
    <w:rsid w:val="00171BC2"/>
    <w:rPr>
      <w:color w:val="954F72"/>
      <w:u w:val="single"/>
    </w:rPr>
  </w:style>
  <w:style w:type="paragraph" w:customStyle="1" w:styleId="msonormal0">
    <w:name w:val="msonormal"/>
    <w:basedOn w:val="Normal"/>
    <w:uiPriority w:val="99"/>
    <w:semiHidden/>
    <w:rsid w:val="00171BC2"/>
    <w:pPr>
      <w:spacing w:line="256" w:lineRule="auto"/>
    </w:pPr>
    <w:rPr>
      <w:rFonts w:ascii="Times New Roman" w:eastAsia="Calibri" w:hAnsi="Times New Roman" w:cs="Times New Roman"/>
    </w:rPr>
  </w:style>
  <w:style w:type="paragraph" w:styleId="NormalWeb">
    <w:name w:val="Normal (Web)"/>
    <w:basedOn w:val="Normal"/>
    <w:uiPriority w:val="99"/>
    <w:semiHidden/>
    <w:unhideWhenUsed/>
    <w:rsid w:val="00171BC2"/>
    <w:pPr>
      <w:spacing w:line="256" w:lineRule="auto"/>
    </w:pPr>
    <w:rPr>
      <w:rFonts w:ascii="Times New Roman" w:eastAsia="Calibri" w:hAnsi="Times New Roman" w:cs="Times New Roman"/>
    </w:rPr>
  </w:style>
  <w:style w:type="paragraph" w:styleId="Textocomentario">
    <w:name w:val="annotation text"/>
    <w:basedOn w:val="Normal"/>
    <w:link w:val="TextocomentarioCar"/>
    <w:uiPriority w:val="99"/>
    <w:unhideWhenUsed/>
    <w:rsid w:val="00171BC2"/>
    <w:pPr>
      <w:spacing w:line="240" w:lineRule="auto"/>
    </w:pPr>
    <w:rPr>
      <w:rFonts w:ascii="Calibri" w:eastAsia="Calibri" w:hAnsi="Calibri" w:cs="Times New Roman"/>
      <w:sz w:val="20"/>
      <w:szCs w:val="20"/>
    </w:rPr>
  </w:style>
  <w:style w:type="character" w:customStyle="1" w:styleId="TextocomentarioCar">
    <w:name w:val="Texto comentario Car"/>
    <w:basedOn w:val="Fuentedeprrafopredeter"/>
    <w:link w:val="Textocomentario"/>
    <w:uiPriority w:val="99"/>
    <w:rsid w:val="00171BC2"/>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171BC2"/>
    <w:rPr>
      <w:b/>
      <w:bCs/>
    </w:rPr>
  </w:style>
  <w:style w:type="character" w:customStyle="1" w:styleId="AsuntodelcomentarioCar">
    <w:name w:val="Asunto del comentario Car"/>
    <w:basedOn w:val="TextocomentarioCar"/>
    <w:link w:val="Asuntodelcomentario"/>
    <w:uiPriority w:val="99"/>
    <w:semiHidden/>
    <w:rsid w:val="00171BC2"/>
    <w:rPr>
      <w:rFonts w:ascii="Calibri" w:eastAsia="Calibri" w:hAnsi="Calibri" w:cs="Times New Roman"/>
      <w:b/>
      <w:bCs/>
      <w:sz w:val="20"/>
      <w:szCs w:val="20"/>
    </w:rPr>
  </w:style>
  <w:style w:type="paragraph" w:styleId="Textodeglobo">
    <w:name w:val="Balloon Text"/>
    <w:basedOn w:val="Normal"/>
    <w:link w:val="TextodegloboCar"/>
    <w:uiPriority w:val="99"/>
    <w:semiHidden/>
    <w:unhideWhenUsed/>
    <w:rsid w:val="00171BC2"/>
    <w:pPr>
      <w:spacing w:after="0" w:line="240" w:lineRule="auto"/>
    </w:pPr>
    <w:rPr>
      <w:rFonts w:ascii="Segoe UI" w:eastAsia="Calibri" w:hAnsi="Segoe UI" w:cs="Segoe UI"/>
      <w:sz w:val="18"/>
      <w:szCs w:val="18"/>
    </w:rPr>
  </w:style>
  <w:style w:type="character" w:customStyle="1" w:styleId="TextodegloboCar">
    <w:name w:val="Texto de globo Car"/>
    <w:basedOn w:val="Fuentedeprrafopredeter"/>
    <w:link w:val="Textodeglobo"/>
    <w:uiPriority w:val="99"/>
    <w:semiHidden/>
    <w:rsid w:val="00171BC2"/>
    <w:rPr>
      <w:rFonts w:ascii="Segoe UI" w:eastAsia="Calibri" w:hAnsi="Segoe UI" w:cs="Segoe UI"/>
      <w:sz w:val="18"/>
      <w:szCs w:val="18"/>
    </w:rPr>
  </w:style>
  <w:style w:type="character" w:styleId="Refdecomentario">
    <w:name w:val="annotation reference"/>
    <w:basedOn w:val="Fuentedeprrafopredeter"/>
    <w:uiPriority w:val="99"/>
    <w:semiHidden/>
    <w:unhideWhenUsed/>
    <w:rsid w:val="00171BC2"/>
    <w:rPr>
      <w:sz w:val="16"/>
      <w:szCs w:val="16"/>
    </w:rPr>
  </w:style>
  <w:style w:type="character" w:customStyle="1" w:styleId="Mencinsinresolver1">
    <w:name w:val="Mención sin resolver1"/>
    <w:basedOn w:val="Fuentedeprrafopredeter"/>
    <w:uiPriority w:val="99"/>
    <w:semiHidden/>
    <w:rsid w:val="00171BC2"/>
    <w:rPr>
      <w:color w:val="605E5C"/>
      <w:shd w:val="clear" w:color="auto" w:fill="E1DFDD"/>
    </w:rPr>
  </w:style>
  <w:style w:type="character" w:styleId="Hipervnculovisitado">
    <w:name w:val="FollowedHyperlink"/>
    <w:basedOn w:val="Fuentedeprrafopredeter"/>
    <w:uiPriority w:val="99"/>
    <w:semiHidden/>
    <w:unhideWhenUsed/>
    <w:rsid w:val="00171BC2"/>
    <w:rPr>
      <w:color w:val="96607D" w:themeColor="followedHyperlink"/>
      <w:u w:val="single"/>
    </w:rPr>
  </w:style>
  <w:style w:type="paragraph" w:styleId="Revisin">
    <w:name w:val="Revision"/>
    <w:hidden/>
    <w:uiPriority w:val="99"/>
    <w:semiHidden/>
    <w:rsid w:val="00583C1B"/>
    <w:pPr>
      <w:spacing w:after="0" w:line="240" w:lineRule="auto"/>
    </w:pPr>
  </w:style>
  <w:style w:type="table" w:styleId="Tablaconcuadrcula">
    <w:name w:val="Table Grid"/>
    <w:basedOn w:val="Tablanormal"/>
    <w:uiPriority w:val="39"/>
    <w:rsid w:val="00F514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669618">
      <w:bodyDiv w:val="1"/>
      <w:marLeft w:val="0"/>
      <w:marRight w:val="0"/>
      <w:marTop w:val="0"/>
      <w:marBottom w:val="0"/>
      <w:divBdr>
        <w:top w:val="none" w:sz="0" w:space="0" w:color="auto"/>
        <w:left w:val="none" w:sz="0" w:space="0" w:color="auto"/>
        <w:bottom w:val="none" w:sz="0" w:space="0" w:color="auto"/>
        <w:right w:val="none" w:sz="0" w:space="0" w:color="auto"/>
      </w:divBdr>
    </w:div>
    <w:div w:id="249044202">
      <w:bodyDiv w:val="1"/>
      <w:marLeft w:val="0"/>
      <w:marRight w:val="0"/>
      <w:marTop w:val="0"/>
      <w:marBottom w:val="0"/>
      <w:divBdr>
        <w:top w:val="none" w:sz="0" w:space="0" w:color="auto"/>
        <w:left w:val="none" w:sz="0" w:space="0" w:color="auto"/>
        <w:bottom w:val="none" w:sz="0" w:space="0" w:color="auto"/>
        <w:right w:val="none" w:sz="0" w:space="0" w:color="auto"/>
      </w:divBdr>
    </w:div>
    <w:div w:id="292709945">
      <w:bodyDiv w:val="1"/>
      <w:marLeft w:val="0"/>
      <w:marRight w:val="0"/>
      <w:marTop w:val="0"/>
      <w:marBottom w:val="0"/>
      <w:divBdr>
        <w:top w:val="none" w:sz="0" w:space="0" w:color="auto"/>
        <w:left w:val="none" w:sz="0" w:space="0" w:color="auto"/>
        <w:bottom w:val="none" w:sz="0" w:space="0" w:color="auto"/>
        <w:right w:val="none" w:sz="0" w:space="0" w:color="auto"/>
      </w:divBdr>
      <w:divsChild>
        <w:div w:id="1714962143">
          <w:marLeft w:val="0"/>
          <w:marRight w:val="0"/>
          <w:marTop w:val="15"/>
          <w:marBottom w:val="0"/>
          <w:divBdr>
            <w:top w:val="single" w:sz="48" w:space="0" w:color="auto"/>
            <w:left w:val="single" w:sz="48" w:space="0" w:color="auto"/>
            <w:bottom w:val="single" w:sz="48" w:space="0" w:color="auto"/>
            <w:right w:val="single" w:sz="48" w:space="0" w:color="auto"/>
          </w:divBdr>
          <w:divsChild>
            <w:div w:id="1282833666">
              <w:marLeft w:val="0"/>
              <w:marRight w:val="0"/>
              <w:marTop w:val="0"/>
              <w:marBottom w:val="0"/>
              <w:divBdr>
                <w:top w:val="none" w:sz="0" w:space="0" w:color="auto"/>
                <w:left w:val="none" w:sz="0" w:space="0" w:color="auto"/>
                <w:bottom w:val="none" w:sz="0" w:space="0" w:color="auto"/>
                <w:right w:val="none" w:sz="0" w:space="0" w:color="auto"/>
              </w:divBdr>
            </w:div>
          </w:divsChild>
        </w:div>
        <w:div w:id="629283609">
          <w:marLeft w:val="0"/>
          <w:marRight w:val="0"/>
          <w:marTop w:val="15"/>
          <w:marBottom w:val="0"/>
          <w:divBdr>
            <w:top w:val="single" w:sz="48" w:space="0" w:color="auto"/>
            <w:left w:val="single" w:sz="48" w:space="0" w:color="auto"/>
            <w:bottom w:val="single" w:sz="48" w:space="0" w:color="auto"/>
            <w:right w:val="single" w:sz="48" w:space="0" w:color="auto"/>
          </w:divBdr>
          <w:divsChild>
            <w:div w:id="21752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433942">
      <w:bodyDiv w:val="1"/>
      <w:marLeft w:val="0"/>
      <w:marRight w:val="0"/>
      <w:marTop w:val="0"/>
      <w:marBottom w:val="0"/>
      <w:divBdr>
        <w:top w:val="none" w:sz="0" w:space="0" w:color="auto"/>
        <w:left w:val="none" w:sz="0" w:space="0" w:color="auto"/>
        <w:bottom w:val="none" w:sz="0" w:space="0" w:color="auto"/>
        <w:right w:val="none" w:sz="0" w:space="0" w:color="auto"/>
      </w:divBdr>
    </w:div>
    <w:div w:id="326566115">
      <w:bodyDiv w:val="1"/>
      <w:marLeft w:val="0"/>
      <w:marRight w:val="0"/>
      <w:marTop w:val="0"/>
      <w:marBottom w:val="0"/>
      <w:divBdr>
        <w:top w:val="none" w:sz="0" w:space="0" w:color="auto"/>
        <w:left w:val="none" w:sz="0" w:space="0" w:color="auto"/>
        <w:bottom w:val="none" w:sz="0" w:space="0" w:color="auto"/>
        <w:right w:val="none" w:sz="0" w:space="0" w:color="auto"/>
      </w:divBdr>
    </w:div>
    <w:div w:id="351538592">
      <w:bodyDiv w:val="1"/>
      <w:marLeft w:val="0"/>
      <w:marRight w:val="0"/>
      <w:marTop w:val="0"/>
      <w:marBottom w:val="0"/>
      <w:divBdr>
        <w:top w:val="none" w:sz="0" w:space="0" w:color="auto"/>
        <w:left w:val="none" w:sz="0" w:space="0" w:color="auto"/>
        <w:bottom w:val="none" w:sz="0" w:space="0" w:color="auto"/>
        <w:right w:val="none" w:sz="0" w:space="0" w:color="auto"/>
      </w:divBdr>
    </w:div>
    <w:div w:id="364915602">
      <w:bodyDiv w:val="1"/>
      <w:marLeft w:val="0"/>
      <w:marRight w:val="0"/>
      <w:marTop w:val="0"/>
      <w:marBottom w:val="0"/>
      <w:divBdr>
        <w:top w:val="none" w:sz="0" w:space="0" w:color="auto"/>
        <w:left w:val="none" w:sz="0" w:space="0" w:color="auto"/>
        <w:bottom w:val="none" w:sz="0" w:space="0" w:color="auto"/>
        <w:right w:val="none" w:sz="0" w:space="0" w:color="auto"/>
      </w:divBdr>
    </w:div>
    <w:div w:id="380599254">
      <w:bodyDiv w:val="1"/>
      <w:marLeft w:val="0"/>
      <w:marRight w:val="0"/>
      <w:marTop w:val="0"/>
      <w:marBottom w:val="0"/>
      <w:divBdr>
        <w:top w:val="none" w:sz="0" w:space="0" w:color="auto"/>
        <w:left w:val="none" w:sz="0" w:space="0" w:color="auto"/>
        <w:bottom w:val="none" w:sz="0" w:space="0" w:color="auto"/>
        <w:right w:val="none" w:sz="0" w:space="0" w:color="auto"/>
      </w:divBdr>
    </w:div>
    <w:div w:id="384455459">
      <w:bodyDiv w:val="1"/>
      <w:marLeft w:val="0"/>
      <w:marRight w:val="0"/>
      <w:marTop w:val="0"/>
      <w:marBottom w:val="0"/>
      <w:divBdr>
        <w:top w:val="none" w:sz="0" w:space="0" w:color="auto"/>
        <w:left w:val="none" w:sz="0" w:space="0" w:color="auto"/>
        <w:bottom w:val="none" w:sz="0" w:space="0" w:color="auto"/>
        <w:right w:val="none" w:sz="0" w:space="0" w:color="auto"/>
      </w:divBdr>
    </w:div>
    <w:div w:id="390886967">
      <w:bodyDiv w:val="1"/>
      <w:marLeft w:val="0"/>
      <w:marRight w:val="0"/>
      <w:marTop w:val="0"/>
      <w:marBottom w:val="0"/>
      <w:divBdr>
        <w:top w:val="none" w:sz="0" w:space="0" w:color="auto"/>
        <w:left w:val="none" w:sz="0" w:space="0" w:color="auto"/>
        <w:bottom w:val="none" w:sz="0" w:space="0" w:color="auto"/>
        <w:right w:val="none" w:sz="0" w:space="0" w:color="auto"/>
      </w:divBdr>
    </w:div>
    <w:div w:id="393965813">
      <w:bodyDiv w:val="1"/>
      <w:marLeft w:val="0"/>
      <w:marRight w:val="0"/>
      <w:marTop w:val="0"/>
      <w:marBottom w:val="0"/>
      <w:divBdr>
        <w:top w:val="none" w:sz="0" w:space="0" w:color="auto"/>
        <w:left w:val="none" w:sz="0" w:space="0" w:color="auto"/>
        <w:bottom w:val="none" w:sz="0" w:space="0" w:color="auto"/>
        <w:right w:val="none" w:sz="0" w:space="0" w:color="auto"/>
      </w:divBdr>
    </w:div>
    <w:div w:id="398289106">
      <w:bodyDiv w:val="1"/>
      <w:marLeft w:val="0"/>
      <w:marRight w:val="0"/>
      <w:marTop w:val="0"/>
      <w:marBottom w:val="0"/>
      <w:divBdr>
        <w:top w:val="none" w:sz="0" w:space="0" w:color="auto"/>
        <w:left w:val="none" w:sz="0" w:space="0" w:color="auto"/>
        <w:bottom w:val="none" w:sz="0" w:space="0" w:color="auto"/>
        <w:right w:val="none" w:sz="0" w:space="0" w:color="auto"/>
      </w:divBdr>
    </w:div>
    <w:div w:id="490561367">
      <w:bodyDiv w:val="1"/>
      <w:marLeft w:val="0"/>
      <w:marRight w:val="0"/>
      <w:marTop w:val="0"/>
      <w:marBottom w:val="0"/>
      <w:divBdr>
        <w:top w:val="none" w:sz="0" w:space="0" w:color="auto"/>
        <w:left w:val="none" w:sz="0" w:space="0" w:color="auto"/>
        <w:bottom w:val="none" w:sz="0" w:space="0" w:color="auto"/>
        <w:right w:val="none" w:sz="0" w:space="0" w:color="auto"/>
      </w:divBdr>
    </w:div>
    <w:div w:id="537283467">
      <w:bodyDiv w:val="1"/>
      <w:marLeft w:val="0"/>
      <w:marRight w:val="0"/>
      <w:marTop w:val="0"/>
      <w:marBottom w:val="0"/>
      <w:divBdr>
        <w:top w:val="none" w:sz="0" w:space="0" w:color="auto"/>
        <w:left w:val="none" w:sz="0" w:space="0" w:color="auto"/>
        <w:bottom w:val="none" w:sz="0" w:space="0" w:color="auto"/>
        <w:right w:val="none" w:sz="0" w:space="0" w:color="auto"/>
      </w:divBdr>
    </w:div>
    <w:div w:id="541357978">
      <w:bodyDiv w:val="1"/>
      <w:marLeft w:val="0"/>
      <w:marRight w:val="0"/>
      <w:marTop w:val="0"/>
      <w:marBottom w:val="0"/>
      <w:divBdr>
        <w:top w:val="none" w:sz="0" w:space="0" w:color="auto"/>
        <w:left w:val="none" w:sz="0" w:space="0" w:color="auto"/>
        <w:bottom w:val="none" w:sz="0" w:space="0" w:color="auto"/>
        <w:right w:val="none" w:sz="0" w:space="0" w:color="auto"/>
      </w:divBdr>
    </w:div>
    <w:div w:id="545260653">
      <w:bodyDiv w:val="1"/>
      <w:marLeft w:val="0"/>
      <w:marRight w:val="0"/>
      <w:marTop w:val="0"/>
      <w:marBottom w:val="0"/>
      <w:divBdr>
        <w:top w:val="none" w:sz="0" w:space="0" w:color="auto"/>
        <w:left w:val="none" w:sz="0" w:space="0" w:color="auto"/>
        <w:bottom w:val="none" w:sz="0" w:space="0" w:color="auto"/>
        <w:right w:val="none" w:sz="0" w:space="0" w:color="auto"/>
      </w:divBdr>
    </w:div>
    <w:div w:id="558638992">
      <w:bodyDiv w:val="1"/>
      <w:marLeft w:val="0"/>
      <w:marRight w:val="0"/>
      <w:marTop w:val="0"/>
      <w:marBottom w:val="0"/>
      <w:divBdr>
        <w:top w:val="none" w:sz="0" w:space="0" w:color="auto"/>
        <w:left w:val="none" w:sz="0" w:space="0" w:color="auto"/>
        <w:bottom w:val="none" w:sz="0" w:space="0" w:color="auto"/>
        <w:right w:val="none" w:sz="0" w:space="0" w:color="auto"/>
      </w:divBdr>
    </w:div>
    <w:div w:id="654913063">
      <w:bodyDiv w:val="1"/>
      <w:marLeft w:val="0"/>
      <w:marRight w:val="0"/>
      <w:marTop w:val="0"/>
      <w:marBottom w:val="0"/>
      <w:divBdr>
        <w:top w:val="none" w:sz="0" w:space="0" w:color="auto"/>
        <w:left w:val="none" w:sz="0" w:space="0" w:color="auto"/>
        <w:bottom w:val="none" w:sz="0" w:space="0" w:color="auto"/>
        <w:right w:val="none" w:sz="0" w:space="0" w:color="auto"/>
      </w:divBdr>
    </w:div>
    <w:div w:id="743376403">
      <w:bodyDiv w:val="1"/>
      <w:marLeft w:val="0"/>
      <w:marRight w:val="0"/>
      <w:marTop w:val="0"/>
      <w:marBottom w:val="0"/>
      <w:divBdr>
        <w:top w:val="none" w:sz="0" w:space="0" w:color="auto"/>
        <w:left w:val="none" w:sz="0" w:space="0" w:color="auto"/>
        <w:bottom w:val="none" w:sz="0" w:space="0" w:color="auto"/>
        <w:right w:val="none" w:sz="0" w:space="0" w:color="auto"/>
      </w:divBdr>
    </w:div>
    <w:div w:id="743525400">
      <w:bodyDiv w:val="1"/>
      <w:marLeft w:val="0"/>
      <w:marRight w:val="0"/>
      <w:marTop w:val="0"/>
      <w:marBottom w:val="0"/>
      <w:divBdr>
        <w:top w:val="none" w:sz="0" w:space="0" w:color="auto"/>
        <w:left w:val="none" w:sz="0" w:space="0" w:color="auto"/>
        <w:bottom w:val="none" w:sz="0" w:space="0" w:color="auto"/>
        <w:right w:val="none" w:sz="0" w:space="0" w:color="auto"/>
      </w:divBdr>
    </w:div>
    <w:div w:id="766537980">
      <w:bodyDiv w:val="1"/>
      <w:marLeft w:val="0"/>
      <w:marRight w:val="0"/>
      <w:marTop w:val="0"/>
      <w:marBottom w:val="0"/>
      <w:divBdr>
        <w:top w:val="none" w:sz="0" w:space="0" w:color="auto"/>
        <w:left w:val="none" w:sz="0" w:space="0" w:color="auto"/>
        <w:bottom w:val="none" w:sz="0" w:space="0" w:color="auto"/>
        <w:right w:val="none" w:sz="0" w:space="0" w:color="auto"/>
      </w:divBdr>
    </w:div>
    <w:div w:id="792789998">
      <w:bodyDiv w:val="1"/>
      <w:marLeft w:val="0"/>
      <w:marRight w:val="0"/>
      <w:marTop w:val="0"/>
      <w:marBottom w:val="0"/>
      <w:divBdr>
        <w:top w:val="none" w:sz="0" w:space="0" w:color="auto"/>
        <w:left w:val="none" w:sz="0" w:space="0" w:color="auto"/>
        <w:bottom w:val="none" w:sz="0" w:space="0" w:color="auto"/>
        <w:right w:val="none" w:sz="0" w:space="0" w:color="auto"/>
      </w:divBdr>
    </w:div>
    <w:div w:id="834537615">
      <w:bodyDiv w:val="1"/>
      <w:marLeft w:val="0"/>
      <w:marRight w:val="0"/>
      <w:marTop w:val="0"/>
      <w:marBottom w:val="0"/>
      <w:divBdr>
        <w:top w:val="none" w:sz="0" w:space="0" w:color="auto"/>
        <w:left w:val="none" w:sz="0" w:space="0" w:color="auto"/>
        <w:bottom w:val="none" w:sz="0" w:space="0" w:color="auto"/>
        <w:right w:val="none" w:sz="0" w:space="0" w:color="auto"/>
      </w:divBdr>
    </w:div>
    <w:div w:id="848983204">
      <w:bodyDiv w:val="1"/>
      <w:marLeft w:val="0"/>
      <w:marRight w:val="0"/>
      <w:marTop w:val="0"/>
      <w:marBottom w:val="0"/>
      <w:divBdr>
        <w:top w:val="none" w:sz="0" w:space="0" w:color="auto"/>
        <w:left w:val="none" w:sz="0" w:space="0" w:color="auto"/>
        <w:bottom w:val="none" w:sz="0" w:space="0" w:color="auto"/>
        <w:right w:val="none" w:sz="0" w:space="0" w:color="auto"/>
      </w:divBdr>
      <w:divsChild>
        <w:div w:id="1512526798">
          <w:marLeft w:val="0"/>
          <w:marRight w:val="0"/>
          <w:marTop w:val="0"/>
          <w:marBottom w:val="0"/>
          <w:divBdr>
            <w:top w:val="none" w:sz="0" w:space="0" w:color="auto"/>
            <w:left w:val="none" w:sz="0" w:space="0" w:color="auto"/>
            <w:bottom w:val="none" w:sz="0" w:space="0" w:color="auto"/>
            <w:right w:val="none" w:sz="0" w:space="0" w:color="auto"/>
          </w:divBdr>
          <w:divsChild>
            <w:div w:id="1381632166">
              <w:marLeft w:val="0"/>
              <w:marRight w:val="0"/>
              <w:marTop w:val="0"/>
              <w:marBottom w:val="0"/>
              <w:divBdr>
                <w:top w:val="none" w:sz="0" w:space="0" w:color="auto"/>
                <w:left w:val="none" w:sz="0" w:space="0" w:color="auto"/>
                <w:bottom w:val="none" w:sz="0" w:space="0" w:color="auto"/>
                <w:right w:val="none" w:sz="0" w:space="0" w:color="auto"/>
              </w:divBdr>
              <w:divsChild>
                <w:div w:id="449512560">
                  <w:marLeft w:val="0"/>
                  <w:marRight w:val="0"/>
                  <w:marTop w:val="0"/>
                  <w:marBottom w:val="0"/>
                  <w:divBdr>
                    <w:top w:val="none" w:sz="0" w:space="0" w:color="auto"/>
                    <w:left w:val="none" w:sz="0" w:space="0" w:color="auto"/>
                    <w:bottom w:val="none" w:sz="0" w:space="0" w:color="auto"/>
                    <w:right w:val="none" w:sz="0" w:space="0" w:color="auto"/>
                  </w:divBdr>
                  <w:divsChild>
                    <w:div w:id="1641571406">
                      <w:marLeft w:val="0"/>
                      <w:marRight w:val="0"/>
                      <w:marTop w:val="0"/>
                      <w:marBottom w:val="0"/>
                      <w:divBdr>
                        <w:top w:val="none" w:sz="0" w:space="0" w:color="auto"/>
                        <w:left w:val="none" w:sz="0" w:space="0" w:color="auto"/>
                        <w:bottom w:val="none" w:sz="0" w:space="0" w:color="auto"/>
                        <w:right w:val="none" w:sz="0" w:space="0" w:color="auto"/>
                      </w:divBdr>
                      <w:divsChild>
                        <w:div w:id="1985236393">
                          <w:marLeft w:val="0"/>
                          <w:marRight w:val="0"/>
                          <w:marTop w:val="0"/>
                          <w:marBottom w:val="0"/>
                          <w:divBdr>
                            <w:top w:val="none" w:sz="0" w:space="0" w:color="auto"/>
                            <w:left w:val="none" w:sz="0" w:space="0" w:color="auto"/>
                            <w:bottom w:val="none" w:sz="0" w:space="0" w:color="auto"/>
                            <w:right w:val="none" w:sz="0" w:space="0" w:color="auto"/>
                          </w:divBdr>
                          <w:divsChild>
                            <w:div w:id="102502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2101722">
      <w:bodyDiv w:val="1"/>
      <w:marLeft w:val="0"/>
      <w:marRight w:val="0"/>
      <w:marTop w:val="0"/>
      <w:marBottom w:val="0"/>
      <w:divBdr>
        <w:top w:val="none" w:sz="0" w:space="0" w:color="auto"/>
        <w:left w:val="none" w:sz="0" w:space="0" w:color="auto"/>
        <w:bottom w:val="none" w:sz="0" w:space="0" w:color="auto"/>
        <w:right w:val="none" w:sz="0" w:space="0" w:color="auto"/>
      </w:divBdr>
    </w:div>
    <w:div w:id="922379560">
      <w:bodyDiv w:val="1"/>
      <w:marLeft w:val="0"/>
      <w:marRight w:val="0"/>
      <w:marTop w:val="0"/>
      <w:marBottom w:val="0"/>
      <w:divBdr>
        <w:top w:val="none" w:sz="0" w:space="0" w:color="auto"/>
        <w:left w:val="none" w:sz="0" w:space="0" w:color="auto"/>
        <w:bottom w:val="none" w:sz="0" w:space="0" w:color="auto"/>
        <w:right w:val="none" w:sz="0" w:space="0" w:color="auto"/>
      </w:divBdr>
    </w:div>
    <w:div w:id="960653035">
      <w:bodyDiv w:val="1"/>
      <w:marLeft w:val="0"/>
      <w:marRight w:val="0"/>
      <w:marTop w:val="0"/>
      <w:marBottom w:val="0"/>
      <w:divBdr>
        <w:top w:val="none" w:sz="0" w:space="0" w:color="auto"/>
        <w:left w:val="none" w:sz="0" w:space="0" w:color="auto"/>
        <w:bottom w:val="none" w:sz="0" w:space="0" w:color="auto"/>
        <w:right w:val="none" w:sz="0" w:space="0" w:color="auto"/>
      </w:divBdr>
    </w:div>
    <w:div w:id="981160814">
      <w:bodyDiv w:val="1"/>
      <w:marLeft w:val="0"/>
      <w:marRight w:val="0"/>
      <w:marTop w:val="0"/>
      <w:marBottom w:val="0"/>
      <w:divBdr>
        <w:top w:val="none" w:sz="0" w:space="0" w:color="auto"/>
        <w:left w:val="none" w:sz="0" w:space="0" w:color="auto"/>
        <w:bottom w:val="none" w:sz="0" w:space="0" w:color="auto"/>
        <w:right w:val="none" w:sz="0" w:space="0" w:color="auto"/>
      </w:divBdr>
    </w:div>
    <w:div w:id="981276795">
      <w:bodyDiv w:val="1"/>
      <w:marLeft w:val="0"/>
      <w:marRight w:val="0"/>
      <w:marTop w:val="0"/>
      <w:marBottom w:val="0"/>
      <w:divBdr>
        <w:top w:val="none" w:sz="0" w:space="0" w:color="auto"/>
        <w:left w:val="none" w:sz="0" w:space="0" w:color="auto"/>
        <w:bottom w:val="none" w:sz="0" w:space="0" w:color="auto"/>
        <w:right w:val="none" w:sz="0" w:space="0" w:color="auto"/>
      </w:divBdr>
    </w:div>
    <w:div w:id="1002925728">
      <w:bodyDiv w:val="1"/>
      <w:marLeft w:val="0"/>
      <w:marRight w:val="0"/>
      <w:marTop w:val="0"/>
      <w:marBottom w:val="0"/>
      <w:divBdr>
        <w:top w:val="none" w:sz="0" w:space="0" w:color="auto"/>
        <w:left w:val="none" w:sz="0" w:space="0" w:color="auto"/>
        <w:bottom w:val="none" w:sz="0" w:space="0" w:color="auto"/>
        <w:right w:val="none" w:sz="0" w:space="0" w:color="auto"/>
      </w:divBdr>
    </w:div>
    <w:div w:id="1005519478">
      <w:bodyDiv w:val="1"/>
      <w:marLeft w:val="0"/>
      <w:marRight w:val="0"/>
      <w:marTop w:val="0"/>
      <w:marBottom w:val="0"/>
      <w:divBdr>
        <w:top w:val="none" w:sz="0" w:space="0" w:color="auto"/>
        <w:left w:val="none" w:sz="0" w:space="0" w:color="auto"/>
        <w:bottom w:val="none" w:sz="0" w:space="0" w:color="auto"/>
        <w:right w:val="none" w:sz="0" w:space="0" w:color="auto"/>
      </w:divBdr>
    </w:div>
    <w:div w:id="1010911836">
      <w:bodyDiv w:val="1"/>
      <w:marLeft w:val="0"/>
      <w:marRight w:val="0"/>
      <w:marTop w:val="0"/>
      <w:marBottom w:val="0"/>
      <w:divBdr>
        <w:top w:val="none" w:sz="0" w:space="0" w:color="auto"/>
        <w:left w:val="none" w:sz="0" w:space="0" w:color="auto"/>
        <w:bottom w:val="none" w:sz="0" w:space="0" w:color="auto"/>
        <w:right w:val="none" w:sz="0" w:space="0" w:color="auto"/>
      </w:divBdr>
    </w:div>
    <w:div w:id="1083257063">
      <w:bodyDiv w:val="1"/>
      <w:marLeft w:val="0"/>
      <w:marRight w:val="0"/>
      <w:marTop w:val="0"/>
      <w:marBottom w:val="0"/>
      <w:divBdr>
        <w:top w:val="none" w:sz="0" w:space="0" w:color="auto"/>
        <w:left w:val="none" w:sz="0" w:space="0" w:color="auto"/>
        <w:bottom w:val="none" w:sz="0" w:space="0" w:color="auto"/>
        <w:right w:val="none" w:sz="0" w:space="0" w:color="auto"/>
      </w:divBdr>
    </w:div>
    <w:div w:id="1111121341">
      <w:bodyDiv w:val="1"/>
      <w:marLeft w:val="0"/>
      <w:marRight w:val="0"/>
      <w:marTop w:val="0"/>
      <w:marBottom w:val="0"/>
      <w:divBdr>
        <w:top w:val="none" w:sz="0" w:space="0" w:color="auto"/>
        <w:left w:val="none" w:sz="0" w:space="0" w:color="auto"/>
        <w:bottom w:val="none" w:sz="0" w:space="0" w:color="auto"/>
        <w:right w:val="none" w:sz="0" w:space="0" w:color="auto"/>
      </w:divBdr>
    </w:div>
    <w:div w:id="1133673296">
      <w:bodyDiv w:val="1"/>
      <w:marLeft w:val="0"/>
      <w:marRight w:val="0"/>
      <w:marTop w:val="0"/>
      <w:marBottom w:val="0"/>
      <w:divBdr>
        <w:top w:val="none" w:sz="0" w:space="0" w:color="auto"/>
        <w:left w:val="none" w:sz="0" w:space="0" w:color="auto"/>
        <w:bottom w:val="none" w:sz="0" w:space="0" w:color="auto"/>
        <w:right w:val="none" w:sz="0" w:space="0" w:color="auto"/>
      </w:divBdr>
    </w:div>
    <w:div w:id="1151404943">
      <w:bodyDiv w:val="1"/>
      <w:marLeft w:val="0"/>
      <w:marRight w:val="0"/>
      <w:marTop w:val="0"/>
      <w:marBottom w:val="0"/>
      <w:divBdr>
        <w:top w:val="none" w:sz="0" w:space="0" w:color="auto"/>
        <w:left w:val="none" w:sz="0" w:space="0" w:color="auto"/>
        <w:bottom w:val="none" w:sz="0" w:space="0" w:color="auto"/>
        <w:right w:val="none" w:sz="0" w:space="0" w:color="auto"/>
      </w:divBdr>
    </w:div>
    <w:div w:id="1153061897">
      <w:bodyDiv w:val="1"/>
      <w:marLeft w:val="0"/>
      <w:marRight w:val="0"/>
      <w:marTop w:val="0"/>
      <w:marBottom w:val="0"/>
      <w:divBdr>
        <w:top w:val="none" w:sz="0" w:space="0" w:color="auto"/>
        <w:left w:val="none" w:sz="0" w:space="0" w:color="auto"/>
        <w:bottom w:val="none" w:sz="0" w:space="0" w:color="auto"/>
        <w:right w:val="none" w:sz="0" w:space="0" w:color="auto"/>
      </w:divBdr>
    </w:div>
    <w:div w:id="1157385329">
      <w:bodyDiv w:val="1"/>
      <w:marLeft w:val="0"/>
      <w:marRight w:val="0"/>
      <w:marTop w:val="0"/>
      <w:marBottom w:val="0"/>
      <w:divBdr>
        <w:top w:val="none" w:sz="0" w:space="0" w:color="auto"/>
        <w:left w:val="none" w:sz="0" w:space="0" w:color="auto"/>
        <w:bottom w:val="none" w:sz="0" w:space="0" w:color="auto"/>
        <w:right w:val="none" w:sz="0" w:space="0" w:color="auto"/>
      </w:divBdr>
    </w:div>
    <w:div w:id="1163004748">
      <w:bodyDiv w:val="1"/>
      <w:marLeft w:val="0"/>
      <w:marRight w:val="0"/>
      <w:marTop w:val="0"/>
      <w:marBottom w:val="0"/>
      <w:divBdr>
        <w:top w:val="none" w:sz="0" w:space="0" w:color="auto"/>
        <w:left w:val="none" w:sz="0" w:space="0" w:color="auto"/>
        <w:bottom w:val="none" w:sz="0" w:space="0" w:color="auto"/>
        <w:right w:val="none" w:sz="0" w:space="0" w:color="auto"/>
      </w:divBdr>
    </w:div>
    <w:div w:id="1170947532">
      <w:bodyDiv w:val="1"/>
      <w:marLeft w:val="0"/>
      <w:marRight w:val="0"/>
      <w:marTop w:val="0"/>
      <w:marBottom w:val="0"/>
      <w:divBdr>
        <w:top w:val="none" w:sz="0" w:space="0" w:color="auto"/>
        <w:left w:val="none" w:sz="0" w:space="0" w:color="auto"/>
        <w:bottom w:val="none" w:sz="0" w:space="0" w:color="auto"/>
        <w:right w:val="none" w:sz="0" w:space="0" w:color="auto"/>
      </w:divBdr>
    </w:div>
    <w:div w:id="1202135586">
      <w:bodyDiv w:val="1"/>
      <w:marLeft w:val="0"/>
      <w:marRight w:val="0"/>
      <w:marTop w:val="0"/>
      <w:marBottom w:val="0"/>
      <w:divBdr>
        <w:top w:val="none" w:sz="0" w:space="0" w:color="auto"/>
        <w:left w:val="none" w:sz="0" w:space="0" w:color="auto"/>
        <w:bottom w:val="none" w:sz="0" w:space="0" w:color="auto"/>
        <w:right w:val="none" w:sz="0" w:space="0" w:color="auto"/>
      </w:divBdr>
    </w:div>
    <w:div w:id="1205170925">
      <w:bodyDiv w:val="1"/>
      <w:marLeft w:val="0"/>
      <w:marRight w:val="0"/>
      <w:marTop w:val="0"/>
      <w:marBottom w:val="0"/>
      <w:divBdr>
        <w:top w:val="none" w:sz="0" w:space="0" w:color="auto"/>
        <w:left w:val="none" w:sz="0" w:space="0" w:color="auto"/>
        <w:bottom w:val="none" w:sz="0" w:space="0" w:color="auto"/>
        <w:right w:val="none" w:sz="0" w:space="0" w:color="auto"/>
      </w:divBdr>
    </w:div>
    <w:div w:id="1215503998">
      <w:bodyDiv w:val="1"/>
      <w:marLeft w:val="0"/>
      <w:marRight w:val="0"/>
      <w:marTop w:val="0"/>
      <w:marBottom w:val="0"/>
      <w:divBdr>
        <w:top w:val="none" w:sz="0" w:space="0" w:color="auto"/>
        <w:left w:val="none" w:sz="0" w:space="0" w:color="auto"/>
        <w:bottom w:val="none" w:sz="0" w:space="0" w:color="auto"/>
        <w:right w:val="none" w:sz="0" w:space="0" w:color="auto"/>
      </w:divBdr>
    </w:div>
    <w:div w:id="1237740693">
      <w:bodyDiv w:val="1"/>
      <w:marLeft w:val="0"/>
      <w:marRight w:val="0"/>
      <w:marTop w:val="0"/>
      <w:marBottom w:val="0"/>
      <w:divBdr>
        <w:top w:val="none" w:sz="0" w:space="0" w:color="auto"/>
        <w:left w:val="none" w:sz="0" w:space="0" w:color="auto"/>
        <w:bottom w:val="none" w:sz="0" w:space="0" w:color="auto"/>
        <w:right w:val="none" w:sz="0" w:space="0" w:color="auto"/>
      </w:divBdr>
    </w:div>
    <w:div w:id="1242174408">
      <w:bodyDiv w:val="1"/>
      <w:marLeft w:val="0"/>
      <w:marRight w:val="0"/>
      <w:marTop w:val="0"/>
      <w:marBottom w:val="0"/>
      <w:divBdr>
        <w:top w:val="none" w:sz="0" w:space="0" w:color="auto"/>
        <w:left w:val="none" w:sz="0" w:space="0" w:color="auto"/>
        <w:bottom w:val="none" w:sz="0" w:space="0" w:color="auto"/>
        <w:right w:val="none" w:sz="0" w:space="0" w:color="auto"/>
      </w:divBdr>
    </w:div>
    <w:div w:id="1278369290">
      <w:bodyDiv w:val="1"/>
      <w:marLeft w:val="0"/>
      <w:marRight w:val="0"/>
      <w:marTop w:val="0"/>
      <w:marBottom w:val="0"/>
      <w:divBdr>
        <w:top w:val="none" w:sz="0" w:space="0" w:color="auto"/>
        <w:left w:val="none" w:sz="0" w:space="0" w:color="auto"/>
        <w:bottom w:val="none" w:sz="0" w:space="0" w:color="auto"/>
        <w:right w:val="none" w:sz="0" w:space="0" w:color="auto"/>
      </w:divBdr>
    </w:div>
    <w:div w:id="1289631647">
      <w:bodyDiv w:val="1"/>
      <w:marLeft w:val="0"/>
      <w:marRight w:val="0"/>
      <w:marTop w:val="0"/>
      <w:marBottom w:val="0"/>
      <w:divBdr>
        <w:top w:val="none" w:sz="0" w:space="0" w:color="auto"/>
        <w:left w:val="none" w:sz="0" w:space="0" w:color="auto"/>
        <w:bottom w:val="none" w:sz="0" w:space="0" w:color="auto"/>
        <w:right w:val="none" w:sz="0" w:space="0" w:color="auto"/>
      </w:divBdr>
    </w:div>
    <w:div w:id="1289773398">
      <w:bodyDiv w:val="1"/>
      <w:marLeft w:val="0"/>
      <w:marRight w:val="0"/>
      <w:marTop w:val="0"/>
      <w:marBottom w:val="0"/>
      <w:divBdr>
        <w:top w:val="none" w:sz="0" w:space="0" w:color="auto"/>
        <w:left w:val="none" w:sz="0" w:space="0" w:color="auto"/>
        <w:bottom w:val="none" w:sz="0" w:space="0" w:color="auto"/>
        <w:right w:val="none" w:sz="0" w:space="0" w:color="auto"/>
      </w:divBdr>
    </w:div>
    <w:div w:id="1302269689">
      <w:bodyDiv w:val="1"/>
      <w:marLeft w:val="0"/>
      <w:marRight w:val="0"/>
      <w:marTop w:val="0"/>
      <w:marBottom w:val="0"/>
      <w:divBdr>
        <w:top w:val="none" w:sz="0" w:space="0" w:color="auto"/>
        <w:left w:val="none" w:sz="0" w:space="0" w:color="auto"/>
        <w:bottom w:val="none" w:sz="0" w:space="0" w:color="auto"/>
        <w:right w:val="none" w:sz="0" w:space="0" w:color="auto"/>
      </w:divBdr>
    </w:div>
    <w:div w:id="1315455385">
      <w:bodyDiv w:val="1"/>
      <w:marLeft w:val="0"/>
      <w:marRight w:val="0"/>
      <w:marTop w:val="0"/>
      <w:marBottom w:val="0"/>
      <w:divBdr>
        <w:top w:val="none" w:sz="0" w:space="0" w:color="auto"/>
        <w:left w:val="none" w:sz="0" w:space="0" w:color="auto"/>
        <w:bottom w:val="none" w:sz="0" w:space="0" w:color="auto"/>
        <w:right w:val="none" w:sz="0" w:space="0" w:color="auto"/>
      </w:divBdr>
    </w:div>
    <w:div w:id="1322349263">
      <w:bodyDiv w:val="1"/>
      <w:marLeft w:val="0"/>
      <w:marRight w:val="0"/>
      <w:marTop w:val="0"/>
      <w:marBottom w:val="0"/>
      <w:divBdr>
        <w:top w:val="none" w:sz="0" w:space="0" w:color="auto"/>
        <w:left w:val="none" w:sz="0" w:space="0" w:color="auto"/>
        <w:bottom w:val="none" w:sz="0" w:space="0" w:color="auto"/>
        <w:right w:val="none" w:sz="0" w:space="0" w:color="auto"/>
      </w:divBdr>
    </w:div>
    <w:div w:id="1382513982">
      <w:bodyDiv w:val="1"/>
      <w:marLeft w:val="0"/>
      <w:marRight w:val="0"/>
      <w:marTop w:val="0"/>
      <w:marBottom w:val="0"/>
      <w:divBdr>
        <w:top w:val="none" w:sz="0" w:space="0" w:color="auto"/>
        <w:left w:val="none" w:sz="0" w:space="0" w:color="auto"/>
        <w:bottom w:val="none" w:sz="0" w:space="0" w:color="auto"/>
        <w:right w:val="none" w:sz="0" w:space="0" w:color="auto"/>
      </w:divBdr>
    </w:div>
    <w:div w:id="1392269445">
      <w:bodyDiv w:val="1"/>
      <w:marLeft w:val="0"/>
      <w:marRight w:val="0"/>
      <w:marTop w:val="0"/>
      <w:marBottom w:val="0"/>
      <w:divBdr>
        <w:top w:val="none" w:sz="0" w:space="0" w:color="auto"/>
        <w:left w:val="none" w:sz="0" w:space="0" w:color="auto"/>
        <w:bottom w:val="none" w:sz="0" w:space="0" w:color="auto"/>
        <w:right w:val="none" w:sz="0" w:space="0" w:color="auto"/>
      </w:divBdr>
    </w:div>
    <w:div w:id="1398087509">
      <w:bodyDiv w:val="1"/>
      <w:marLeft w:val="0"/>
      <w:marRight w:val="0"/>
      <w:marTop w:val="0"/>
      <w:marBottom w:val="0"/>
      <w:divBdr>
        <w:top w:val="none" w:sz="0" w:space="0" w:color="auto"/>
        <w:left w:val="none" w:sz="0" w:space="0" w:color="auto"/>
        <w:bottom w:val="none" w:sz="0" w:space="0" w:color="auto"/>
        <w:right w:val="none" w:sz="0" w:space="0" w:color="auto"/>
      </w:divBdr>
    </w:div>
    <w:div w:id="1410927446">
      <w:bodyDiv w:val="1"/>
      <w:marLeft w:val="0"/>
      <w:marRight w:val="0"/>
      <w:marTop w:val="0"/>
      <w:marBottom w:val="0"/>
      <w:divBdr>
        <w:top w:val="none" w:sz="0" w:space="0" w:color="auto"/>
        <w:left w:val="none" w:sz="0" w:space="0" w:color="auto"/>
        <w:bottom w:val="none" w:sz="0" w:space="0" w:color="auto"/>
        <w:right w:val="none" w:sz="0" w:space="0" w:color="auto"/>
      </w:divBdr>
    </w:div>
    <w:div w:id="1411195352">
      <w:bodyDiv w:val="1"/>
      <w:marLeft w:val="0"/>
      <w:marRight w:val="0"/>
      <w:marTop w:val="0"/>
      <w:marBottom w:val="0"/>
      <w:divBdr>
        <w:top w:val="none" w:sz="0" w:space="0" w:color="auto"/>
        <w:left w:val="none" w:sz="0" w:space="0" w:color="auto"/>
        <w:bottom w:val="none" w:sz="0" w:space="0" w:color="auto"/>
        <w:right w:val="none" w:sz="0" w:space="0" w:color="auto"/>
      </w:divBdr>
    </w:div>
    <w:div w:id="1414355453">
      <w:bodyDiv w:val="1"/>
      <w:marLeft w:val="0"/>
      <w:marRight w:val="0"/>
      <w:marTop w:val="0"/>
      <w:marBottom w:val="0"/>
      <w:divBdr>
        <w:top w:val="none" w:sz="0" w:space="0" w:color="auto"/>
        <w:left w:val="none" w:sz="0" w:space="0" w:color="auto"/>
        <w:bottom w:val="none" w:sz="0" w:space="0" w:color="auto"/>
        <w:right w:val="none" w:sz="0" w:space="0" w:color="auto"/>
      </w:divBdr>
    </w:div>
    <w:div w:id="1419057463">
      <w:bodyDiv w:val="1"/>
      <w:marLeft w:val="0"/>
      <w:marRight w:val="0"/>
      <w:marTop w:val="0"/>
      <w:marBottom w:val="0"/>
      <w:divBdr>
        <w:top w:val="none" w:sz="0" w:space="0" w:color="auto"/>
        <w:left w:val="none" w:sz="0" w:space="0" w:color="auto"/>
        <w:bottom w:val="none" w:sz="0" w:space="0" w:color="auto"/>
        <w:right w:val="none" w:sz="0" w:space="0" w:color="auto"/>
      </w:divBdr>
    </w:div>
    <w:div w:id="1456144509">
      <w:bodyDiv w:val="1"/>
      <w:marLeft w:val="0"/>
      <w:marRight w:val="0"/>
      <w:marTop w:val="0"/>
      <w:marBottom w:val="0"/>
      <w:divBdr>
        <w:top w:val="none" w:sz="0" w:space="0" w:color="auto"/>
        <w:left w:val="none" w:sz="0" w:space="0" w:color="auto"/>
        <w:bottom w:val="none" w:sz="0" w:space="0" w:color="auto"/>
        <w:right w:val="none" w:sz="0" w:space="0" w:color="auto"/>
      </w:divBdr>
    </w:div>
    <w:div w:id="1488474255">
      <w:bodyDiv w:val="1"/>
      <w:marLeft w:val="0"/>
      <w:marRight w:val="0"/>
      <w:marTop w:val="0"/>
      <w:marBottom w:val="0"/>
      <w:divBdr>
        <w:top w:val="none" w:sz="0" w:space="0" w:color="auto"/>
        <w:left w:val="none" w:sz="0" w:space="0" w:color="auto"/>
        <w:bottom w:val="none" w:sz="0" w:space="0" w:color="auto"/>
        <w:right w:val="none" w:sz="0" w:space="0" w:color="auto"/>
      </w:divBdr>
    </w:div>
    <w:div w:id="1522740420">
      <w:bodyDiv w:val="1"/>
      <w:marLeft w:val="0"/>
      <w:marRight w:val="0"/>
      <w:marTop w:val="0"/>
      <w:marBottom w:val="0"/>
      <w:divBdr>
        <w:top w:val="none" w:sz="0" w:space="0" w:color="auto"/>
        <w:left w:val="none" w:sz="0" w:space="0" w:color="auto"/>
        <w:bottom w:val="none" w:sz="0" w:space="0" w:color="auto"/>
        <w:right w:val="none" w:sz="0" w:space="0" w:color="auto"/>
      </w:divBdr>
    </w:div>
    <w:div w:id="1528910897">
      <w:bodyDiv w:val="1"/>
      <w:marLeft w:val="0"/>
      <w:marRight w:val="0"/>
      <w:marTop w:val="0"/>
      <w:marBottom w:val="0"/>
      <w:divBdr>
        <w:top w:val="none" w:sz="0" w:space="0" w:color="auto"/>
        <w:left w:val="none" w:sz="0" w:space="0" w:color="auto"/>
        <w:bottom w:val="none" w:sz="0" w:space="0" w:color="auto"/>
        <w:right w:val="none" w:sz="0" w:space="0" w:color="auto"/>
      </w:divBdr>
    </w:div>
    <w:div w:id="1548641934">
      <w:bodyDiv w:val="1"/>
      <w:marLeft w:val="0"/>
      <w:marRight w:val="0"/>
      <w:marTop w:val="0"/>
      <w:marBottom w:val="0"/>
      <w:divBdr>
        <w:top w:val="none" w:sz="0" w:space="0" w:color="auto"/>
        <w:left w:val="none" w:sz="0" w:space="0" w:color="auto"/>
        <w:bottom w:val="none" w:sz="0" w:space="0" w:color="auto"/>
        <w:right w:val="none" w:sz="0" w:space="0" w:color="auto"/>
      </w:divBdr>
    </w:div>
    <w:div w:id="1550996816">
      <w:bodyDiv w:val="1"/>
      <w:marLeft w:val="0"/>
      <w:marRight w:val="0"/>
      <w:marTop w:val="0"/>
      <w:marBottom w:val="0"/>
      <w:divBdr>
        <w:top w:val="none" w:sz="0" w:space="0" w:color="auto"/>
        <w:left w:val="none" w:sz="0" w:space="0" w:color="auto"/>
        <w:bottom w:val="none" w:sz="0" w:space="0" w:color="auto"/>
        <w:right w:val="none" w:sz="0" w:space="0" w:color="auto"/>
      </w:divBdr>
    </w:div>
    <w:div w:id="1558930155">
      <w:bodyDiv w:val="1"/>
      <w:marLeft w:val="0"/>
      <w:marRight w:val="0"/>
      <w:marTop w:val="0"/>
      <w:marBottom w:val="0"/>
      <w:divBdr>
        <w:top w:val="none" w:sz="0" w:space="0" w:color="auto"/>
        <w:left w:val="none" w:sz="0" w:space="0" w:color="auto"/>
        <w:bottom w:val="none" w:sz="0" w:space="0" w:color="auto"/>
        <w:right w:val="none" w:sz="0" w:space="0" w:color="auto"/>
      </w:divBdr>
    </w:div>
    <w:div w:id="1570187199">
      <w:bodyDiv w:val="1"/>
      <w:marLeft w:val="0"/>
      <w:marRight w:val="0"/>
      <w:marTop w:val="0"/>
      <w:marBottom w:val="0"/>
      <w:divBdr>
        <w:top w:val="none" w:sz="0" w:space="0" w:color="auto"/>
        <w:left w:val="none" w:sz="0" w:space="0" w:color="auto"/>
        <w:bottom w:val="none" w:sz="0" w:space="0" w:color="auto"/>
        <w:right w:val="none" w:sz="0" w:space="0" w:color="auto"/>
      </w:divBdr>
    </w:div>
    <w:div w:id="1640650896">
      <w:bodyDiv w:val="1"/>
      <w:marLeft w:val="0"/>
      <w:marRight w:val="0"/>
      <w:marTop w:val="0"/>
      <w:marBottom w:val="0"/>
      <w:divBdr>
        <w:top w:val="none" w:sz="0" w:space="0" w:color="auto"/>
        <w:left w:val="none" w:sz="0" w:space="0" w:color="auto"/>
        <w:bottom w:val="none" w:sz="0" w:space="0" w:color="auto"/>
        <w:right w:val="none" w:sz="0" w:space="0" w:color="auto"/>
      </w:divBdr>
    </w:div>
    <w:div w:id="1662273855">
      <w:bodyDiv w:val="1"/>
      <w:marLeft w:val="0"/>
      <w:marRight w:val="0"/>
      <w:marTop w:val="0"/>
      <w:marBottom w:val="0"/>
      <w:divBdr>
        <w:top w:val="none" w:sz="0" w:space="0" w:color="auto"/>
        <w:left w:val="none" w:sz="0" w:space="0" w:color="auto"/>
        <w:bottom w:val="none" w:sz="0" w:space="0" w:color="auto"/>
        <w:right w:val="none" w:sz="0" w:space="0" w:color="auto"/>
      </w:divBdr>
    </w:div>
    <w:div w:id="1687050189">
      <w:bodyDiv w:val="1"/>
      <w:marLeft w:val="0"/>
      <w:marRight w:val="0"/>
      <w:marTop w:val="0"/>
      <w:marBottom w:val="0"/>
      <w:divBdr>
        <w:top w:val="none" w:sz="0" w:space="0" w:color="auto"/>
        <w:left w:val="none" w:sz="0" w:space="0" w:color="auto"/>
        <w:bottom w:val="none" w:sz="0" w:space="0" w:color="auto"/>
        <w:right w:val="none" w:sz="0" w:space="0" w:color="auto"/>
      </w:divBdr>
    </w:div>
    <w:div w:id="1692144921">
      <w:bodyDiv w:val="1"/>
      <w:marLeft w:val="0"/>
      <w:marRight w:val="0"/>
      <w:marTop w:val="0"/>
      <w:marBottom w:val="0"/>
      <w:divBdr>
        <w:top w:val="none" w:sz="0" w:space="0" w:color="auto"/>
        <w:left w:val="none" w:sz="0" w:space="0" w:color="auto"/>
        <w:bottom w:val="none" w:sz="0" w:space="0" w:color="auto"/>
        <w:right w:val="none" w:sz="0" w:space="0" w:color="auto"/>
      </w:divBdr>
    </w:div>
    <w:div w:id="1703899772">
      <w:bodyDiv w:val="1"/>
      <w:marLeft w:val="0"/>
      <w:marRight w:val="0"/>
      <w:marTop w:val="0"/>
      <w:marBottom w:val="0"/>
      <w:divBdr>
        <w:top w:val="none" w:sz="0" w:space="0" w:color="auto"/>
        <w:left w:val="none" w:sz="0" w:space="0" w:color="auto"/>
        <w:bottom w:val="none" w:sz="0" w:space="0" w:color="auto"/>
        <w:right w:val="none" w:sz="0" w:space="0" w:color="auto"/>
      </w:divBdr>
    </w:div>
    <w:div w:id="1719814863">
      <w:bodyDiv w:val="1"/>
      <w:marLeft w:val="0"/>
      <w:marRight w:val="0"/>
      <w:marTop w:val="0"/>
      <w:marBottom w:val="0"/>
      <w:divBdr>
        <w:top w:val="none" w:sz="0" w:space="0" w:color="auto"/>
        <w:left w:val="none" w:sz="0" w:space="0" w:color="auto"/>
        <w:bottom w:val="none" w:sz="0" w:space="0" w:color="auto"/>
        <w:right w:val="none" w:sz="0" w:space="0" w:color="auto"/>
      </w:divBdr>
    </w:div>
    <w:div w:id="1737313443">
      <w:bodyDiv w:val="1"/>
      <w:marLeft w:val="0"/>
      <w:marRight w:val="0"/>
      <w:marTop w:val="0"/>
      <w:marBottom w:val="0"/>
      <w:divBdr>
        <w:top w:val="none" w:sz="0" w:space="0" w:color="auto"/>
        <w:left w:val="none" w:sz="0" w:space="0" w:color="auto"/>
        <w:bottom w:val="none" w:sz="0" w:space="0" w:color="auto"/>
        <w:right w:val="none" w:sz="0" w:space="0" w:color="auto"/>
      </w:divBdr>
    </w:div>
    <w:div w:id="1745569485">
      <w:bodyDiv w:val="1"/>
      <w:marLeft w:val="0"/>
      <w:marRight w:val="0"/>
      <w:marTop w:val="0"/>
      <w:marBottom w:val="0"/>
      <w:divBdr>
        <w:top w:val="none" w:sz="0" w:space="0" w:color="auto"/>
        <w:left w:val="none" w:sz="0" w:space="0" w:color="auto"/>
        <w:bottom w:val="none" w:sz="0" w:space="0" w:color="auto"/>
        <w:right w:val="none" w:sz="0" w:space="0" w:color="auto"/>
      </w:divBdr>
    </w:div>
    <w:div w:id="1756826807">
      <w:bodyDiv w:val="1"/>
      <w:marLeft w:val="0"/>
      <w:marRight w:val="0"/>
      <w:marTop w:val="0"/>
      <w:marBottom w:val="0"/>
      <w:divBdr>
        <w:top w:val="none" w:sz="0" w:space="0" w:color="auto"/>
        <w:left w:val="none" w:sz="0" w:space="0" w:color="auto"/>
        <w:bottom w:val="none" w:sz="0" w:space="0" w:color="auto"/>
        <w:right w:val="none" w:sz="0" w:space="0" w:color="auto"/>
      </w:divBdr>
      <w:divsChild>
        <w:div w:id="449906234">
          <w:marLeft w:val="0"/>
          <w:marRight w:val="0"/>
          <w:marTop w:val="0"/>
          <w:marBottom w:val="0"/>
          <w:divBdr>
            <w:top w:val="none" w:sz="0" w:space="0" w:color="auto"/>
            <w:left w:val="none" w:sz="0" w:space="0" w:color="auto"/>
            <w:bottom w:val="none" w:sz="0" w:space="0" w:color="auto"/>
            <w:right w:val="none" w:sz="0" w:space="0" w:color="auto"/>
          </w:divBdr>
          <w:divsChild>
            <w:div w:id="600601715">
              <w:marLeft w:val="0"/>
              <w:marRight w:val="0"/>
              <w:marTop w:val="0"/>
              <w:marBottom w:val="0"/>
              <w:divBdr>
                <w:top w:val="none" w:sz="0" w:space="0" w:color="auto"/>
                <w:left w:val="none" w:sz="0" w:space="0" w:color="auto"/>
                <w:bottom w:val="none" w:sz="0" w:space="0" w:color="auto"/>
                <w:right w:val="none" w:sz="0" w:space="0" w:color="auto"/>
              </w:divBdr>
              <w:divsChild>
                <w:div w:id="1028024505">
                  <w:marLeft w:val="0"/>
                  <w:marRight w:val="0"/>
                  <w:marTop w:val="0"/>
                  <w:marBottom w:val="0"/>
                  <w:divBdr>
                    <w:top w:val="none" w:sz="0" w:space="0" w:color="auto"/>
                    <w:left w:val="none" w:sz="0" w:space="0" w:color="auto"/>
                    <w:bottom w:val="none" w:sz="0" w:space="0" w:color="auto"/>
                    <w:right w:val="none" w:sz="0" w:space="0" w:color="auto"/>
                  </w:divBdr>
                  <w:divsChild>
                    <w:div w:id="1738043348">
                      <w:marLeft w:val="0"/>
                      <w:marRight w:val="0"/>
                      <w:marTop w:val="0"/>
                      <w:marBottom w:val="0"/>
                      <w:divBdr>
                        <w:top w:val="none" w:sz="0" w:space="0" w:color="auto"/>
                        <w:left w:val="none" w:sz="0" w:space="0" w:color="auto"/>
                        <w:bottom w:val="none" w:sz="0" w:space="0" w:color="auto"/>
                        <w:right w:val="none" w:sz="0" w:space="0" w:color="auto"/>
                      </w:divBdr>
                      <w:divsChild>
                        <w:div w:id="529227362">
                          <w:marLeft w:val="0"/>
                          <w:marRight w:val="0"/>
                          <w:marTop w:val="0"/>
                          <w:marBottom w:val="0"/>
                          <w:divBdr>
                            <w:top w:val="none" w:sz="0" w:space="0" w:color="auto"/>
                            <w:left w:val="none" w:sz="0" w:space="0" w:color="auto"/>
                            <w:bottom w:val="none" w:sz="0" w:space="0" w:color="auto"/>
                            <w:right w:val="none" w:sz="0" w:space="0" w:color="auto"/>
                          </w:divBdr>
                          <w:divsChild>
                            <w:div w:id="1175267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9276134">
      <w:bodyDiv w:val="1"/>
      <w:marLeft w:val="0"/>
      <w:marRight w:val="0"/>
      <w:marTop w:val="0"/>
      <w:marBottom w:val="0"/>
      <w:divBdr>
        <w:top w:val="none" w:sz="0" w:space="0" w:color="auto"/>
        <w:left w:val="none" w:sz="0" w:space="0" w:color="auto"/>
        <w:bottom w:val="none" w:sz="0" w:space="0" w:color="auto"/>
        <w:right w:val="none" w:sz="0" w:space="0" w:color="auto"/>
      </w:divBdr>
    </w:div>
    <w:div w:id="1778258130">
      <w:bodyDiv w:val="1"/>
      <w:marLeft w:val="0"/>
      <w:marRight w:val="0"/>
      <w:marTop w:val="0"/>
      <w:marBottom w:val="0"/>
      <w:divBdr>
        <w:top w:val="none" w:sz="0" w:space="0" w:color="auto"/>
        <w:left w:val="none" w:sz="0" w:space="0" w:color="auto"/>
        <w:bottom w:val="none" w:sz="0" w:space="0" w:color="auto"/>
        <w:right w:val="none" w:sz="0" w:space="0" w:color="auto"/>
      </w:divBdr>
    </w:div>
    <w:div w:id="1825733976">
      <w:bodyDiv w:val="1"/>
      <w:marLeft w:val="0"/>
      <w:marRight w:val="0"/>
      <w:marTop w:val="0"/>
      <w:marBottom w:val="0"/>
      <w:divBdr>
        <w:top w:val="none" w:sz="0" w:space="0" w:color="auto"/>
        <w:left w:val="none" w:sz="0" w:space="0" w:color="auto"/>
        <w:bottom w:val="none" w:sz="0" w:space="0" w:color="auto"/>
        <w:right w:val="none" w:sz="0" w:space="0" w:color="auto"/>
      </w:divBdr>
    </w:div>
    <w:div w:id="1834949953">
      <w:bodyDiv w:val="1"/>
      <w:marLeft w:val="0"/>
      <w:marRight w:val="0"/>
      <w:marTop w:val="0"/>
      <w:marBottom w:val="0"/>
      <w:divBdr>
        <w:top w:val="none" w:sz="0" w:space="0" w:color="auto"/>
        <w:left w:val="none" w:sz="0" w:space="0" w:color="auto"/>
        <w:bottom w:val="none" w:sz="0" w:space="0" w:color="auto"/>
        <w:right w:val="none" w:sz="0" w:space="0" w:color="auto"/>
      </w:divBdr>
    </w:div>
    <w:div w:id="1910579528">
      <w:bodyDiv w:val="1"/>
      <w:marLeft w:val="0"/>
      <w:marRight w:val="0"/>
      <w:marTop w:val="0"/>
      <w:marBottom w:val="0"/>
      <w:divBdr>
        <w:top w:val="none" w:sz="0" w:space="0" w:color="auto"/>
        <w:left w:val="none" w:sz="0" w:space="0" w:color="auto"/>
        <w:bottom w:val="none" w:sz="0" w:space="0" w:color="auto"/>
        <w:right w:val="none" w:sz="0" w:space="0" w:color="auto"/>
      </w:divBdr>
      <w:divsChild>
        <w:div w:id="663122222">
          <w:marLeft w:val="0"/>
          <w:marRight w:val="0"/>
          <w:marTop w:val="15"/>
          <w:marBottom w:val="0"/>
          <w:divBdr>
            <w:top w:val="single" w:sz="48" w:space="0" w:color="auto"/>
            <w:left w:val="single" w:sz="48" w:space="0" w:color="auto"/>
            <w:bottom w:val="single" w:sz="48" w:space="0" w:color="auto"/>
            <w:right w:val="single" w:sz="48" w:space="0" w:color="auto"/>
          </w:divBdr>
          <w:divsChild>
            <w:div w:id="1554005651">
              <w:marLeft w:val="0"/>
              <w:marRight w:val="0"/>
              <w:marTop w:val="0"/>
              <w:marBottom w:val="0"/>
              <w:divBdr>
                <w:top w:val="none" w:sz="0" w:space="0" w:color="auto"/>
                <w:left w:val="none" w:sz="0" w:space="0" w:color="auto"/>
                <w:bottom w:val="none" w:sz="0" w:space="0" w:color="auto"/>
                <w:right w:val="none" w:sz="0" w:space="0" w:color="auto"/>
              </w:divBdr>
            </w:div>
          </w:divsChild>
        </w:div>
        <w:div w:id="582221883">
          <w:marLeft w:val="0"/>
          <w:marRight w:val="0"/>
          <w:marTop w:val="15"/>
          <w:marBottom w:val="0"/>
          <w:divBdr>
            <w:top w:val="single" w:sz="48" w:space="0" w:color="auto"/>
            <w:left w:val="single" w:sz="48" w:space="0" w:color="auto"/>
            <w:bottom w:val="single" w:sz="48" w:space="0" w:color="auto"/>
            <w:right w:val="single" w:sz="48" w:space="0" w:color="auto"/>
          </w:divBdr>
          <w:divsChild>
            <w:div w:id="625744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5743316">
      <w:bodyDiv w:val="1"/>
      <w:marLeft w:val="0"/>
      <w:marRight w:val="0"/>
      <w:marTop w:val="0"/>
      <w:marBottom w:val="0"/>
      <w:divBdr>
        <w:top w:val="none" w:sz="0" w:space="0" w:color="auto"/>
        <w:left w:val="none" w:sz="0" w:space="0" w:color="auto"/>
        <w:bottom w:val="none" w:sz="0" w:space="0" w:color="auto"/>
        <w:right w:val="none" w:sz="0" w:space="0" w:color="auto"/>
      </w:divBdr>
    </w:div>
    <w:div w:id="1951662883">
      <w:bodyDiv w:val="1"/>
      <w:marLeft w:val="0"/>
      <w:marRight w:val="0"/>
      <w:marTop w:val="0"/>
      <w:marBottom w:val="0"/>
      <w:divBdr>
        <w:top w:val="none" w:sz="0" w:space="0" w:color="auto"/>
        <w:left w:val="none" w:sz="0" w:space="0" w:color="auto"/>
        <w:bottom w:val="none" w:sz="0" w:space="0" w:color="auto"/>
        <w:right w:val="none" w:sz="0" w:space="0" w:color="auto"/>
      </w:divBdr>
    </w:div>
    <w:div w:id="1966963947">
      <w:bodyDiv w:val="1"/>
      <w:marLeft w:val="0"/>
      <w:marRight w:val="0"/>
      <w:marTop w:val="0"/>
      <w:marBottom w:val="0"/>
      <w:divBdr>
        <w:top w:val="none" w:sz="0" w:space="0" w:color="auto"/>
        <w:left w:val="none" w:sz="0" w:space="0" w:color="auto"/>
        <w:bottom w:val="none" w:sz="0" w:space="0" w:color="auto"/>
        <w:right w:val="none" w:sz="0" w:space="0" w:color="auto"/>
      </w:divBdr>
    </w:div>
    <w:div w:id="2006277764">
      <w:bodyDiv w:val="1"/>
      <w:marLeft w:val="0"/>
      <w:marRight w:val="0"/>
      <w:marTop w:val="0"/>
      <w:marBottom w:val="0"/>
      <w:divBdr>
        <w:top w:val="none" w:sz="0" w:space="0" w:color="auto"/>
        <w:left w:val="none" w:sz="0" w:space="0" w:color="auto"/>
        <w:bottom w:val="none" w:sz="0" w:space="0" w:color="auto"/>
        <w:right w:val="none" w:sz="0" w:space="0" w:color="auto"/>
      </w:divBdr>
    </w:div>
    <w:div w:id="2042510487">
      <w:bodyDiv w:val="1"/>
      <w:marLeft w:val="0"/>
      <w:marRight w:val="0"/>
      <w:marTop w:val="0"/>
      <w:marBottom w:val="0"/>
      <w:divBdr>
        <w:top w:val="none" w:sz="0" w:space="0" w:color="auto"/>
        <w:left w:val="none" w:sz="0" w:space="0" w:color="auto"/>
        <w:bottom w:val="none" w:sz="0" w:space="0" w:color="auto"/>
        <w:right w:val="none" w:sz="0" w:space="0" w:color="auto"/>
      </w:divBdr>
    </w:div>
    <w:div w:id="2084525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0/09638237.2021.1875412" TargetMode="External"/><Relationship Id="rId18" Type="http://schemas.openxmlformats.org/officeDocument/2006/relationships/hyperlink" Target="https://doi.org/10.1093/sleep/27.2.285" TargetMode="External"/><Relationship Id="rId26" Type="http://schemas.openxmlformats.org/officeDocument/2006/relationships/hyperlink" Target="https://doi.org/10.1007/s11325-019-01780-z" TargetMode="External"/><Relationship Id="rId39" Type="http://schemas.openxmlformats.org/officeDocument/2006/relationships/hyperlink" Target="https://doi.org/10.1016/j.rcp.2022.04.008" TargetMode="External"/><Relationship Id="rId21" Type="http://schemas.openxmlformats.org/officeDocument/2006/relationships/hyperlink" Target="https://europa.eu/eurobarometer/surveys/detail/3032" TargetMode="External"/><Relationship Id="rId34" Type="http://schemas.openxmlformats.org/officeDocument/2006/relationships/hyperlink" Target="https://doi.org/10.1017/S0007114522002604" TargetMode="External"/><Relationship Id="rId42" Type="http://schemas.openxmlformats.org/officeDocument/2006/relationships/hyperlink" Target="https://doi.org/10.1371/journal.pone.0296309" TargetMode="External"/><Relationship Id="rId47" Type="http://schemas.openxmlformats.org/officeDocument/2006/relationships/hyperlink" Target="https://doi.org/10.3390/jcm11216500" TargetMode="External"/><Relationship Id="rId50" Type="http://schemas.openxmlformats.org/officeDocument/2006/relationships/hyperlink" Target="https://doi.org/10.1080/01411920701208258" TargetMode="External"/><Relationship Id="rId55" Type="http://schemas.openxmlformats.org/officeDocument/2006/relationships/hyperlink" Target="https://dx.doi.org/10.3305/nh.2015.31.5.8608" TargetMode="External"/><Relationship Id="rId63" Type="http://schemas.openxmlformats.org/officeDocument/2006/relationships/fontTable" Target="fontTable.xml"/><Relationship Id="rId7" Type="http://schemas.openxmlformats.org/officeDocument/2006/relationships/hyperlink" Target="https://doi.org/10.12973/ijem.6.4.681" TargetMode="External"/><Relationship Id="rId2" Type="http://schemas.openxmlformats.org/officeDocument/2006/relationships/numbering" Target="numbering.xml"/><Relationship Id="rId16" Type="http://schemas.openxmlformats.org/officeDocument/2006/relationships/hyperlink" Target="https://doi.org/10.1080/2331186X.2023.2232686" TargetMode="External"/><Relationship Id="rId20" Type="http://schemas.openxmlformats.org/officeDocument/2006/relationships/hyperlink" Target="https://doi.org/10.1016/j.lana.2023.100587" TargetMode="External"/><Relationship Id="rId29" Type="http://schemas.openxmlformats.org/officeDocument/2006/relationships/hyperlink" Target="https://doi.org/10.3928/01484834-20210420-04" TargetMode="External"/><Relationship Id="rId41" Type="http://schemas.openxmlformats.org/officeDocument/2006/relationships/hyperlink" Target="https://doi.org/10.1371/journal.pone.0258493" TargetMode="External"/><Relationship Id="rId54" Type="http://schemas.openxmlformats.org/officeDocument/2006/relationships/hyperlink" Target="https://doi.org/10.3389/fpsyg.2022.920395" TargetMode="External"/><Relationship Id="rId62" Type="http://schemas.openxmlformats.org/officeDocument/2006/relationships/hyperlink" Target="https://doi.org/10.5944/educxx1.25651" TargetMode="External"/><Relationship Id="rId1" Type="http://schemas.openxmlformats.org/officeDocument/2006/relationships/customXml" Target="../customXml/item1.xml"/><Relationship Id="rId6" Type="http://schemas.openxmlformats.org/officeDocument/2006/relationships/hyperlink" Target="https://doi.org/10.1186/s12888-023-04645-8" TargetMode="External"/><Relationship Id="rId11" Type="http://schemas.openxmlformats.org/officeDocument/2006/relationships/hyperlink" Target="https://doi.org/10.1016/j.jad.2014.10.054" TargetMode="External"/><Relationship Id="rId24" Type="http://schemas.openxmlformats.org/officeDocument/2006/relationships/hyperlink" Target="https://doi.org/10.3390/nu12102960" TargetMode="External"/><Relationship Id="rId32" Type="http://schemas.openxmlformats.org/officeDocument/2006/relationships/hyperlink" Target="https://doi.org/10.1016/j.sleep.2021.05.046" TargetMode="External"/><Relationship Id="rId37" Type="http://schemas.openxmlformats.org/officeDocument/2006/relationships/hyperlink" Target="https://doi.org/10.1016/j.jpsychires.2006.07.008" TargetMode="External"/><Relationship Id="rId40" Type="http://schemas.openxmlformats.org/officeDocument/2006/relationships/hyperlink" Target="https://doi.org/10.1111/jcpp.13606" TargetMode="External"/><Relationship Id="rId45" Type="http://schemas.openxmlformats.org/officeDocument/2006/relationships/hyperlink" Target="https://doi.org/10.1016/j.biopsycho.2023.108548" TargetMode="External"/><Relationship Id="rId53" Type="http://schemas.openxmlformats.org/officeDocument/2006/relationships/hyperlink" Target="https://doi.org/10.23736/s0022-4707.17.06665-8" TargetMode="External"/><Relationship Id="rId58" Type="http://schemas.openxmlformats.org/officeDocument/2006/relationships/hyperlink" Target="https://psycnet.apa.org/doi/10.1017/sjp.2019.25" TargetMode="External"/><Relationship Id="rId5" Type="http://schemas.openxmlformats.org/officeDocument/2006/relationships/webSettings" Target="webSettings.xml"/><Relationship Id="rId15" Type="http://schemas.openxmlformats.org/officeDocument/2006/relationships/hyperlink" Target="https://doi.org/10.3390/ijerph19052966" TargetMode="External"/><Relationship Id="rId23" Type="http://schemas.openxmlformats.org/officeDocument/2006/relationships/hyperlink" Target="https://doi.org/10.3390/nu13061951" TargetMode="External"/><Relationship Id="rId28" Type="http://schemas.openxmlformats.org/officeDocument/2006/relationships/hyperlink" Target="https://doi.org/10.1111/joim.13333" TargetMode="External"/><Relationship Id="rId36" Type="http://schemas.openxmlformats.org/officeDocument/2006/relationships/hyperlink" Target="https://doi.org/10.1001/jamanetworkopen.2022.49346" TargetMode="External"/><Relationship Id="rId49" Type="http://schemas.openxmlformats.org/officeDocument/2006/relationships/hyperlink" Target="https://iris.paho.org/server/api/core/bitstreams/a01bc606-f297-4b5b-b9bb-be0c64a34410/content" TargetMode="External"/><Relationship Id="rId57" Type="http://schemas.openxmlformats.org/officeDocument/2006/relationships/hyperlink" Target="https://doi.org/10.3945/jn.110.135566" TargetMode="External"/><Relationship Id="rId61" Type="http://schemas.openxmlformats.org/officeDocument/2006/relationships/hyperlink" Target="https://doi.org/10.1037/0033-2909.133.1.65" TargetMode="External"/><Relationship Id="rId10" Type="http://schemas.openxmlformats.org/officeDocument/2006/relationships/hyperlink" Target="https://doi.org/10.1016/j.tine.2019.03.002" TargetMode="External"/><Relationship Id="rId19" Type="http://schemas.openxmlformats.org/officeDocument/2006/relationships/hyperlink" Target="https://doi.org/10.1016/j.lana.2025.101057" TargetMode="External"/><Relationship Id="rId31" Type="http://schemas.openxmlformats.org/officeDocument/2006/relationships/hyperlink" Target="https://doi.org/10.1016/j.sleh.2015.10.004" TargetMode="External"/><Relationship Id="rId44" Type="http://schemas.openxmlformats.org/officeDocument/2006/relationships/hyperlink" Target="https://www.sanidad.gob.es/estadEstudios/estadisticas/encuestaSaludEspana/ESdE2023/ESdE2023_notatecnica.pdf" TargetMode="External"/><Relationship Id="rId52" Type="http://schemas.openxmlformats.org/officeDocument/2006/relationships/hyperlink" Target="https://doi.org/10.1016/j.jad.2019.06.035" TargetMode="External"/><Relationship Id="rId60" Type="http://schemas.openxmlformats.org/officeDocument/2006/relationships/hyperlink" Target="https://doi.org/10.1016/j.jad.2025.01.053" TargetMode="External"/><Relationship Id="rId4" Type="http://schemas.openxmlformats.org/officeDocument/2006/relationships/settings" Target="settings.xml"/><Relationship Id="rId9" Type="http://schemas.openxmlformats.org/officeDocument/2006/relationships/hyperlink" Target="https://doi.org/10.12681/psy_hps.23273" TargetMode="External"/><Relationship Id="rId14" Type="http://schemas.openxmlformats.org/officeDocument/2006/relationships/hyperlink" Target="https://doi.org/10.3390/healthcare5040060" TargetMode="External"/><Relationship Id="rId22" Type="http://schemas.openxmlformats.org/officeDocument/2006/relationships/hyperlink" Target="https://doi.org/10.1016/j.jped.2017.12.003" TargetMode="External"/><Relationship Id="rId27" Type="http://schemas.openxmlformats.org/officeDocument/2006/relationships/hyperlink" Target="http://dx.doi.org/10.2139/ssrn.3831526" TargetMode="External"/><Relationship Id="rId30" Type="http://schemas.openxmlformats.org/officeDocument/2006/relationships/hyperlink" Target="https://doi.org/10.3389/fpsyg.2020.00509" TargetMode="External"/><Relationship Id="rId35" Type="http://schemas.openxmlformats.org/officeDocument/2006/relationships/hyperlink" Target="https://doi.org/10.1186/s40359-024-01761-2" TargetMode="External"/><Relationship Id="rId43" Type="http://schemas.openxmlformats.org/officeDocument/2006/relationships/hyperlink" Target="https://doi.org/10.55414/qvwpqj92" TargetMode="External"/><Relationship Id="rId48" Type="http://schemas.openxmlformats.org/officeDocument/2006/relationships/hyperlink" Target="https://doi.org/10.1016/j.neubiorev.2025.106244" TargetMode="External"/><Relationship Id="rId56" Type="http://schemas.openxmlformats.org/officeDocument/2006/relationships/hyperlink" Target="https://psycnet.apa.org/doi/10.1037/10808-001" TargetMode="External"/><Relationship Id="rId64" Type="http://schemas.openxmlformats.org/officeDocument/2006/relationships/theme" Target="theme/theme1.xml"/><Relationship Id="rId8" Type="http://schemas.openxmlformats.org/officeDocument/2006/relationships/hyperlink" Target="https://doi.org/10.1177/15210251211063611" TargetMode="External"/><Relationship Id="rId51" Type="http://schemas.openxmlformats.org/officeDocument/2006/relationships/hyperlink" Target="https://doi.org/10.31243/id.v13.2020.999" TargetMode="External"/><Relationship Id="rId3" Type="http://schemas.openxmlformats.org/officeDocument/2006/relationships/styles" Target="styles.xml"/><Relationship Id="rId12" Type="http://schemas.openxmlformats.org/officeDocument/2006/relationships/hyperlink" Target="https://doi.org/10.1016/j.enfcli.2020.02.018" TargetMode="External"/><Relationship Id="rId17" Type="http://schemas.openxmlformats.org/officeDocument/2006/relationships/hyperlink" Target="https://doi.org/10.1080/07448481.2022.2151843" TargetMode="External"/><Relationship Id="rId25" Type="http://schemas.openxmlformats.org/officeDocument/2006/relationships/hyperlink" Target="https://doi.org/10.3390/ijerph18126586" TargetMode="External"/><Relationship Id="rId33" Type="http://schemas.openxmlformats.org/officeDocument/2006/relationships/hyperlink" Target="https://doi.org/10.1016/j.neubiorev.2019.05.021" TargetMode="External"/><Relationship Id="rId38" Type="http://schemas.openxmlformats.org/officeDocument/2006/relationships/hyperlink" Target="https://doi.org/10.3389/fpsyg.2019.00284" TargetMode="External"/><Relationship Id="rId46" Type="http://schemas.openxmlformats.org/officeDocument/2006/relationships/hyperlink" Target="https://doi.org/10.51732/njssh.v9i1.161" TargetMode="External"/><Relationship Id="rId59" Type="http://schemas.openxmlformats.org/officeDocument/2006/relationships/hyperlink" Target="https://psycnet.apa.org/doi/10.1016/j.jad.2021.03.054"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6CEA32-AC0D-4B7E-A1AE-245CA65247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29</Pages>
  <Words>12321</Words>
  <Characters>67766</Characters>
  <Application>Microsoft Office Word</Application>
  <DocSecurity>0</DocSecurity>
  <Lines>564</Lines>
  <Paragraphs>159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Tierno Cordón</dc:creator>
  <cp:keywords/>
  <dc:description/>
  <cp:lastModifiedBy>Raúl Jiménez Boraita</cp:lastModifiedBy>
  <cp:revision>5</cp:revision>
  <dcterms:created xsi:type="dcterms:W3CDTF">2026-01-29T10:52:00Z</dcterms:created>
  <dcterms:modified xsi:type="dcterms:W3CDTF">2026-02-26T11:32:00Z</dcterms:modified>
</cp:coreProperties>
</file>