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DC7AA2" w14:textId="77777777" w:rsidR="00872BA3" w:rsidRDefault="00872BA3" w:rsidP="00872BA3">
      <w:pPr>
        <w:tabs>
          <w:tab w:val="left" w:pos="1185"/>
        </w:tabs>
        <w:spacing w:line="480" w:lineRule="auto"/>
        <w:rPr>
          <w:rFonts w:ascii="Times New Roman" w:hAnsi="Times New Roman" w:cs="Times New Roman"/>
          <w:b/>
          <w:sz w:val="20"/>
          <w:szCs w:val="20"/>
          <w:lang w:val="en-GB"/>
        </w:rPr>
      </w:pPr>
    </w:p>
    <w:p w14:paraId="2DD0B682" w14:textId="77777777" w:rsidR="00AC7436" w:rsidRPr="00FF31D4" w:rsidRDefault="00005B7F">
      <w:pPr>
        <w:spacing w:line="480" w:lineRule="auto"/>
        <w:jc w:val="both"/>
        <w:rPr>
          <w:rFonts w:ascii="Times New Roman" w:hAnsi="Times New Roman" w:cs="Times New Roman"/>
          <w:sz w:val="20"/>
          <w:szCs w:val="20"/>
          <w:lang w:val="en-GB"/>
        </w:rPr>
      </w:pPr>
      <w:r w:rsidRPr="00FF31D4">
        <w:rPr>
          <w:rFonts w:ascii="Times New Roman" w:hAnsi="Times New Roman" w:cs="Times New Roman"/>
          <w:b/>
          <w:sz w:val="20"/>
          <w:szCs w:val="20"/>
          <w:lang w:val="en-GB"/>
        </w:rPr>
        <w:t xml:space="preserve">Title: </w:t>
      </w:r>
      <w:r w:rsidRPr="00FF31D4">
        <w:rPr>
          <w:rFonts w:ascii="Times New Roman" w:hAnsi="Times New Roman" w:cs="Times New Roman"/>
          <w:sz w:val="20"/>
          <w:szCs w:val="20"/>
          <w:lang w:val="en-GB"/>
        </w:rPr>
        <w:t xml:space="preserve">Analysis of the lifestyle and psychological well-being of adolescents from the north of Spain: Age-related differences. </w:t>
      </w:r>
    </w:p>
    <w:p w14:paraId="3AF65877" w14:textId="77777777" w:rsidR="00AC7436" w:rsidRPr="00FF31D4" w:rsidRDefault="00005B7F">
      <w:pPr>
        <w:spacing w:line="480" w:lineRule="auto"/>
        <w:jc w:val="center"/>
        <w:rPr>
          <w:rFonts w:ascii="Times New Roman" w:hAnsi="Times New Roman" w:cs="Times New Roman"/>
          <w:b/>
          <w:sz w:val="20"/>
          <w:szCs w:val="20"/>
          <w:lang w:val="en-GB"/>
        </w:rPr>
      </w:pPr>
      <w:r w:rsidRPr="00FF31D4">
        <w:rPr>
          <w:rFonts w:ascii="Times New Roman" w:hAnsi="Times New Roman" w:cs="Times New Roman"/>
          <w:b/>
          <w:sz w:val="20"/>
          <w:szCs w:val="20"/>
          <w:lang w:val="en-GB"/>
        </w:rPr>
        <w:t>Abstract</w:t>
      </w:r>
    </w:p>
    <w:p w14:paraId="17ACB2C3" w14:textId="77777777" w:rsidR="00AC7436" w:rsidRPr="00FF31D4" w:rsidRDefault="00005B7F">
      <w:pPr>
        <w:spacing w:line="480" w:lineRule="auto"/>
        <w:jc w:val="both"/>
        <w:rPr>
          <w:rFonts w:ascii="Times New Roman" w:hAnsi="Times New Roman" w:cs="Times New Roman"/>
          <w:bCs/>
          <w:sz w:val="20"/>
          <w:szCs w:val="20"/>
          <w:lang w:val="en-GB"/>
        </w:rPr>
      </w:pPr>
      <w:r w:rsidRPr="00FF31D4">
        <w:rPr>
          <w:rFonts w:ascii="Times New Roman" w:hAnsi="Times New Roman" w:cs="Times New Roman"/>
          <w:b/>
          <w:sz w:val="20"/>
          <w:szCs w:val="20"/>
          <w:lang w:val="en-GB"/>
        </w:rPr>
        <w:t>Background:</w:t>
      </w:r>
      <w:r w:rsidRPr="00FF31D4">
        <w:rPr>
          <w:rFonts w:ascii="Times New Roman" w:hAnsi="Times New Roman" w:cs="Times New Roman"/>
          <w:bCs/>
          <w:sz w:val="20"/>
          <w:szCs w:val="20"/>
          <w:lang w:val="en-GB"/>
        </w:rPr>
        <w:t xml:space="preserve"> Adolescence is a decisive stage in human development during which intense physical, psychological, emotional and social changes are experienced. The aim of the present study was to analyse the lifestyle differences related with the health of adolescents enrolled in first year (13.01 ± 0.62 years old) and fourth year of secondary education (16.02 ± 0.63 years old) from a region in the North of Spain. </w:t>
      </w:r>
    </w:p>
    <w:p w14:paraId="57529B09" w14:textId="77777777" w:rsidR="00AC7436" w:rsidRPr="00FF31D4" w:rsidRDefault="00005B7F">
      <w:pPr>
        <w:spacing w:line="480" w:lineRule="auto"/>
        <w:jc w:val="both"/>
        <w:rPr>
          <w:rFonts w:ascii="Times New Roman" w:hAnsi="Times New Roman" w:cs="Times New Roman"/>
          <w:bCs/>
          <w:sz w:val="20"/>
          <w:szCs w:val="20"/>
          <w:lang w:val="en-GB"/>
        </w:rPr>
      </w:pPr>
      <w:r w:rsidRPr="00FF31D4">
        <w:rPr>
          <w:rFonts w:ascii="Times New Roman" w:hAnsi="Times New Roman" w:cs="Times New Roman"/>
          <w:b/>
          <w:sz w:val="20"/>
          <w:szCs w:val="20"/>
          <w:lang w:val="en-GB"/>
        </w:rPr>
        <w:t>Method:</w:t>
      </w:r>
      <w:r w:rsidRPr="00FF31D4">
        <w:rPr>
          <w:rFonts w:ascii="Times New Roman" w:hAnsi="Times New Roman" w:cs="Times New Roman"/>
          <w:bCs/>
          <w:sz w:val="20"/>
          <w:szCs w:val="20"/>
          <w:lang w:val="en-GB"/>
        </w:rPr>
        <w:t xml:space="preserve"> A cross-sectional study was conducted with a sample of 761 adolescents</w:t>
      </w:r>
      <w:r w:rsidRPr="00FF31D4">
        <w:rPr>
          <w:rFonts w:ascii="Times New Roman" w:hAnsi="Times New Roman" w:cs="Times New Roman"/>
          <w:sz w:val="20"/>
          <w:szCs w:val="20"/>
          <w:lang w:val="en-GB"/>
        </w:rPr>
        <w:t xml:space="preserve"> </w:t>
      </w:r>
      <w:r w:rsidRPr="00FF31D4">
        <w:rPr>
          <w:rFonts w:ascii="Times New Roman" w:hAnsi="Times New Roman" w:cs="Times New Roman"/>
          <w:bCs/>
          <w:sz w:val="20"/>
          <w:szCs w:val="20"/>
          <w:lang w:val="en-GB"/>
        </w:rPr>
        <w:t>from twenty-five educational centres in a northern region of Spain. The sample was made up of 383 first year students and 378 fourth year students.</w:t>
      </w:r>
      <w:r w:rsidRPr="00FF31D4">
        <w:rPr>
          <w:rFonts w:ascii="Times New Roman" w:hAnsi="Times New Roman" w:cs="Times New Roman"/>
          <w:sz w:val="20"/>
          <w:szCs w:val="20"/>
          <w:lang w:val="en-GB"/>
        </w:rPr>
        <w:t xml:space="preserve"> </w:t>
      </w:r>
      <w:r w:rsidRPr="00FF31D4">
        <w:rPr>
          <w:rFonts w:ascii="Times New Roman" w:hAnsi="Times New Roman" w:cs="Times New Roman"/>
          <w:bCs/>
          <w:sz w:val="20"/>
          <w:szCs w:val="20"/>
          <w:lang w:val="en-GB"/>
        </w:rPr>
        <w:t>Physical activity engagement, health-related quality of life, self-esteem, adherence to a Mediterranean diet, hours of nightly sleep, body mass index and maximum oxygen consumption were evaluated.</w:t>
      </w:r>
    </w:p>
    <w:p w14:paraId="17128AF4" w14:textId="46226622" w:rsidR="00AC7436" w:rsidRPr="00FF31D4" w:rsidRDefault="00005B7F">
      <w:pPr>
        <w:spacing w:line="480" w:lineRule="auto"/>
        <w:jc w:val="both"/>
        <w:rPr>
          <w:rFonts w:ascii="Times New Roman" w:hAnsi="Times New Roman" w:cs="Times New Roman"/>
          <w:bCs/>
          <w:sz w:val="20"/>
          <w:szCs w:val="20"/>
          <w:lang w:val="en-GB"/>
        </w:rPr>
      </w:pPr>
      <w:r w:rsidRPr="00FF31D4">
        <w:rPr>
          <w:rFonts w:ascii="Times New Roman" w:hAnsi="Times New Roman" w:cs="Times New Roman"/>
          <w:b/>
          <w:sz w:val="20"/>
          <w:szCs w:val="20"/>
          <w:lang w:val="en-GB"/>
        </w:rPr>
        <w:t>Results:</w:t>
      </w:r>
      <w:r w:rsidRPr="00FF31D4">
        <w:rPr>
          <w:rFonts w:ascii="Times New Roman" w:hAnsi="Times New Roman" w:cs="Times New Roman"/>
          <w:bCs/>
          <w:sz w:val="20"/>
          <w:szCs w:val="20"/>
          <w:lang w:val="en-GB"/>
        </w:rPr>
        <w:t xml:space="preserve"> </w:t>
      </w:r>
      <w:bookmarkStart w:id="0" w:name="_Hlk106441225"/>
      <w:r w:rsidRPr="00FF31D4">
        <w:rPr>
          <w:rFonts w:ascii="Times New Roman" w:hAnsi="Times New Roman" w:cs="Times New Roman"/>
          <w:bCs/>
          <w:sz w:val="20"/>
          <w:szCs w:val="20"/>
          <w:lang w:val="en-GB"/>
        </w:rPr>
        <w:t>First-year adolescent students reported higher values for self-esteem, health-related quality of life, physical activity, Mediterranean diet adherence, hours of nightly sleep and maximal oxygen consumption. Some differences emerged</w:t>
      </w:r>
      <w:r w:rsidR="00E33455" w:rsidRPr="00FF31D4">
        <w:rPr>
          <w:rFonts w:ascii="Times New Roman" w:hAnsi="Times New Roman" w:cs="Times New Roman"/>
          <w:bCs/>
          <w:sz w:val="20"/>
          <w:szCs w:val="20"/>
          <w:lang w:val="en-GB"/>
        </w:rPr>
        <w:t xml:space="preserve"> according to sex</w:t>
      </w:r>
      <w:r w:rsidRPr="00FF31D4">
        <w:rPr>
          <w:rFonts w:ascii="Times New Roman" w:hAnsi="Times New Roman" w:cs="Times New Roman"/>
          <w:bCs/>
          <w:sz w:val="20"/>
          <w:szCs w:val="20"/>
          <w:lang w:val="en-GB"/>
        </w:rPr>
        <w:t>. Associative analysis revealed negative correlations between age, lifestyle habits (physical activity engagement, hours of nightly sleep and Mediterranean diet adherence) and health indicators (VO</w:t>
      </w:r>
      <w:r w:rsidRPr="00FF31D4">
        <w:rPr>
          <w:rFonts w:ascii="Times New Roman" w:hAnsi="Times New Roman" w:cs="Times New Roman"/>
          <w:bCs/>
          <w:sz w:val="20"/>
          <w:szCs w:val="20"/>
          <w:vertAlign w:val="subscript"/>
          <w:lang w:val="en-GB"/>
        </w:rPr>
        <w:t>2</w:t>
      </w:r>
      <w:r w:rsidRPr="00FF31D4">
        <w:rPr>
          <w:rFonts w:ascii="Times New Roman" w:hAnsi="Times New Roman" w:cs="Times New Roman"/>
          <w:bCs/>
          <w:sz w:val="20"/>
          <w:szCs w:val="20"/>
          <w:lang w:val="en-GB"/>
        </w:rPr>
        <w:t xml:space="preserve">max, self-esteem and HRQoL), with a positive association emerging with BMI. Similar findings emerged regardless of </w:t>
      </w:r>
      <w:r w:rsidR="00E33455" w:rsidRPr="00FF31D4">
        <w:rPr>
          <w:rFonts w:ascii="Times New Roman" w:hAnsi="Times New Roman" w:cs="Times New Roman"/>
          <w:bCs/>
          <w:sz w:val="20"/>
          <w:szCs w:val="20"/>
          <w:lang w:val="en-GB"/>
        </w:rPr>
        <w:t>sex</w:t>
      </w:r>
      <w:r w:rsidRPr="00FF31D4">
        <w:rPr>
          <w:rFonts w:ascii="Times New Roman" w:hAnsi="Times New Roman" w:cs="Times New Roman"/>
          <w:bCs/>
          <w:sz w:val="20"/>
          <w:szCs w:val="20"/>
          <w:lang w:val="en-GB"/>
        </w:rPr>
        <w:t>, with the exception of findings pertaining to VO</w:t>
      </w:r>
      <w:r w:rsidRPr="00FF31D4">
        <w:rPr>
          <w:rFonts w:ascii="Times New Roman" w:hAnsi="Times New Roman" w:cs="Times New Roman"/>
          <w:bCs/>
          <w:sz w:val="20"/>
          <w:szCs w:val="20"/>
          <w:vertAlign w:val="subscript"/>
          <w:lang w:val="en-GB"/>
        </w:rPr>
        <w:t>2</w:t>
      </w:r>
      <w:r w:rsidRPr="00FF31D4">
        <w:rPr>
          <w:rFonts w:ascii="Times New Roman" w:hAnsi="Times New Roman" w:cs="Times New Roman"/>
          <w:bCs/>
          <w:sz w:val="20"/>
          <w:szCs w:val="20"/>
          <w:lang w:val="en-GB"/>
        </w:rPr>
        <w:t xml:space="preserve">max not being significant in boys. </w:t>
      </w:r>
      <w:bookmarkEnd w:id="0"/>
    </w:p>
    <w:p w14:paraId="3D696E95" w14:textId="77777777" w:rsidR="00AC7436" w:rsidRPr="00FF31D4" w:rsidRDefault="00005B7F">
      <w:pPr>
        <w:spacing w:line="480" w:lineRule="auto"/>
        <w:jc w:val="both"/>
        <w:rPr>
          <w:rFonts w:ascii="Times New Roman" w:hAnsi="Times New Roman" w:cs="Times New Roman"/>
          <w:b/>
          <w:sz w:val="20"/>
          <w:szCs w:val="20"/>
          <w:lang w:val="en-GB"/>
        </w:rPr>
      </w:pPr>
      <w:r w:rsidRPr="00FF31D4">
        <w:rPr>
          <w:rFonts w:ascii="Times New Roman" w:hAnsi="Times New Roman" w:cs="Times New Roman"/>
          <w:b/>
          <w:bCs/>
          <w:sz w:val="20"/>
          <w:szCs w:val="20"/>
          <w:lang w:val="en-GB"/>
        </w:rPr>
        <w:t>Conclusion:</w:t>
      </w:r>
      <w:r w:rsidRPr="00FF31D4">
        <w:rPr>
          <w:rFonts w:ascii="Times New Roman" w:hAnsi="Times New Roman" w:cs="Times New Roman"/>
          <w:sz w:val="20"/>
          <w:szCs w:val="20"/>
          <w:lang w:val="en-GB"/>
        </w:rPr>
        <w:t xml:space="preserve"> Differences perceived as a function of the adolescent’s age suggest that it should be an important consideration for educational and health organisations, with the aim of establishing intervention strategies appropriate for each age group. </w:t>
      </w:r>
    </w:p>
    <w:p w14:paraId="10C42FF6" w14:textId="77777777" w:rsidR="00AC7436" w:rsidRPr="00FF31D4" w:rsidRDefault="00005B7F">
      <w:pPr>
        <w:spacing w:line="480" w:lineRule="auto"/>
        <w:jc w:val="both"/>
        <w:rPr>
          <w:rFonts w:ascii="Times New Roman" w:hAnsi="Times New Roman" w:cs="Times New Roman"/>
          <w:sz w:val="20"/>
          <w:szCs w:val="20"/>
          <w:lang w:val="en-GB"/>
        </w:rPr>
      </w:pPr>
      <w:r w:rsidRPr="00FF31D4">
        <w:rPr>
          <w:rFonts w:ascii="Times New Roman" w:hAnsi="Times New Roman" w:cs="Times New Roman"/>
          <w:b/>
          <w:sz w:val="20"/>
          <w:szCs w:val="20"/>
          <w:lang w:val="en-GB"/>
        </w:rPr>
        <w:t xml:space="preserve">Keywords: </w:t>
      </w:r>
      <w:r w:rsidRPr="00FF31D4">
        <w:rPr>
          <w:rFonts w:ascii="Times New Roman" w:hAnsi="Times New Roman" w:cs="Times New Roman"/>
          <w:sz w:val="20"/>
          <w:szCs w:val="20"/>
          <w:lang w:val="en-GB"/>
        </w:rPr>
        <w:t>Adolescent Health, Health Promotion, Mental Health, Obesity, Physical Activity.</w:t>
      </w:r>
    </w:p>
    <w:p w14:paraId="51709E13" w14:textId="77777777" w:rsidR="00AC7436" w:rsidRPr="00FF31D4" w:rsidRDefault="00AC7436">
      <w:pPr>
        <w:spacing w:before="240" w:line="240" w:lineRule="auto"/>
        <w:jc w:val="center"/>
        <w:rPr>
          <w:rFonts w:ascii="Times New Roman" w:hAnsi="Times New Roman" w:cs="Times New Roman"/>
          <w:b/>
          <w:sz w:val="20"/>
          <w:szCs w:val="20"/>
          <w:lang w:val="en-GB"/>
        </w:rPr>
      </w:pPr>
      <w:bookmarkStart w:id="1" w:name="_Hlk67303118"/>
    </w:p>
    <w:p w14:paraId="686D1119" w14:textId="77777777" w:rsidR="00AC7436" w:rsidRPr="00FF31D4" w:rsidRDefault="00AC7436">
      <w:pPr>
        <w:spacing w:before="240" w:line="240" w:lineRule="auto"/>
        <w:jc w:val="center"/>
        <w:rPr>
          <w:rFonts w:ascii="Times New Roman" w:hAnsi="Times New Roman" w:cs="Times New Roman"/>
          <w:b/>
          <w:sz w:val="20"/>
          <w:szCs w:val="20"/>
          <w:lang w:val="en-GB"/>
        </w:rPr>
      </w:pPr>
    </w:p>
    <w:p w14:paraId="3B35CFE3" w14:textId="77777777" w:rsidR="00AC7436" w:rsidRPr="00FF31D4" w:rsidRDefault="00AC7436">
      <w:pPr>
        <w:spacing w:before="240" w:line="240" w:lineRule="auto"/>
        <w:rPr>
          <w:rFonts w:ascii="Times New Roman" w:hAnsi="Times New Roman" w:cs="Times New Roman"/>
          <w:b/>
          <w:sz w:val="20"/>
          <w:szCs w:val="20"/>
          <w:lang w:val="en-GB"/>
        </w:rPr>
      </w:pPr>
    </w:p>
    <w:p w14:paraId="1A750F35" w14:textId="77777777" w:rsidR="00AC7436" w:rsidRPr="00FF31D4" w:rsidRDefault="00005B7F">
      <w:pPr>
        <w:spacing w:before="240" w:line="480" w:lineRule="auto"/>
        <w:jc w:val="center"/>
        <w:rPr>
          <w:rFonts w:ascii="Times New Roman" w:hAnsi="Times New Roman" w:cs="Times New Roman"/>
          <w:b/>
          <w:sz w:val="20"/>
          <w:szCs w:val="20"/>
          <w:lang w:val="en-GB"/>
        </w:rPr>
      </w:pPr>
      <w:r w:rsidRPr="00FF31D4">
        <w:rPr>
          <w:rFonts w:ascii="Times New Roman" w:hAnsi="Times New Roman" w:cs="Times New Roman"/>
          <w:b/>
          <w:sz w:val="20"/>
          <w:szCs w:val="20"/>
          <w:lang w:val="en-GB"/>
        </w:rPr>
        <w:lastRenderedPageBreak/>
        <w:t>Introduction</w:t>
      </w:r>
    </w:p>
    <w:bookmarkEnd w:id="1"/>
    <w:p w14:paraId="17D532A2" w14:textId="77777777" w:rsidR="00AC7436" w:rsidRPr="00FF31D4" w:rsidRDefault="00005B7F">
      <w:pPr>
        <w:autoSpaceDE w:val="0"/>
        <w:autoSpaceDN w:val="0"/>
        <w:adjustRightInd w:val="0"/>
        <w:spacing w:before="240" w:after="0" w:line="480" w:lineRule="auto"/>
        <w:ind w:firstLine="709"/>
        <w:jc w:val="both"/>
        <w:rPr>
          <w:rFonts w:ascii="Times New Roman" w:hAnsi="Times New Roman" w:cs="Times New Roman"/>
          <w:sz w:val="20"/>
          <w:szCs w:val="20"/>
          <w:lang w:val="en-GB"/>
        </w:rPr>
      </w:pPr>
      <w:r w:rsidRPr="00FF31D4">
        <w:rPr>
          <w:rFonts w:ascii="Times New Roman" w:hAnsi="Times New Roman" w:cs="Times New Roman"/>
          <w:sz w:val="20"/>
          <w:szCs w:val="20"/>
          <w:lang w:val="en-GB"/>
        </w:rPr>
        <w:t>Adolescence is a crucial period of human development during which a multitude of biological, psychological and sexual changes occur as a result of interactions of biological factors with social and cultural agents (Jackson &amp; Goossens, 2006; Meeus, 2016). Furthermore, personal identities are formed during this period as it is a time characterised by greater autonomy and a gradual moving away from the family context, with stronger bonds being formed with peers (Gaete, 2015). Despite adolescence following an asynchronous process, age differences are reflected in different health-related aspects</w:t>
      </w:r>
      <w:r w:rsidRPr="00FF31D4">
        <w:rPr>
          <w:rFonts w:ascii="Times New Roman" w:hAnsi="Times New Roman" w:cs="Times New Roman"/>
          <w:sz w:val="20"/>
          <w:szCs w:val="20"/>
          <w:vertAlign w:val="superscript"/>
          <w:lang w:val="en-GB"/>
        </w:rPr>
        <w:t xml:space="preserve"> </w:t>
      </w:r>
      <w:r w:rsidRPr="00FF31D4">
        <w:rPr>
          <w:rFonts w:ascii="Times New Roman" w:hAnsi="Times New Roman" w:cs="Times New Roman"/>
          <w:sz w:val="20"/>
          <w:szCs w:val="20"/>
          <w:lang w:val="en-GB"/>
        </w:rPr>
        <w:t xml:space="preserve">(DiClemente et al., 2009), with knowledge of the changes arising during this stage being crucial. It is, therefore, important to administer interventions from an early age as a means to benefitting present and future public health.  </w:t>
      </w:r>
    </w:p>
    <w:p w14:paraId="6904242D" w14:textId="77777777" w:rsidR="00AC7436" w:rsidRPr="00FF31D4" w:rsidRDefault="00005B7F">
      <w:pPr>
        <w:autoSpaceDE w:val="0"/>
        <w:autoSpaceDN w:val="0"/>
        <w:adjustRightInd w:val="0"/>
        <w:spacing w:before="240" w:after="0" w:line="480" w:lineRule="auto"/>
        <w:ind w:firstLine="709"/>
        <w:jc w:val="both"/>
        <w:rPr>
          <w:rFonts w:ascii="Times New Roman" w:hAnsi="Times New Roman" w:cs="Times New Roman"/>
          <w:sz w:val="20"/>
          <w:szCs w:val="20"/>
          <w:lang w:val="en-GB"/>
        </w:rPr>
      </w:pPr>
      <w:r w:rsidRPr="00FF31D4">
        <w:rPr>
          <w:rFonts w:ascii="Times New Roman" w:hAnsi="Times New Roman" w:cs="Times New Roman"/>
          <w:sz w:val="20"/>
          <w:szCs w:val="20"/>
          <w:lang w:val="en-GB"/>
        </w:rPr>
        <w:t xml:space="preserve"> Adolescence has traditionally been defined by the World Health Organisation (1999) as the life cycle occurring between 10 and 19 years of age. Nonetheless, some authors argue that this period actually occurs between 10 and 24 years old given that this range includes young adults undergoing biological and social changes </w:t>
      </w:r>
      <w:r w:rsidRPr="00FF31D4">
        <w:rPr>
          <w:rFonts w:ascii="Times New Roman" w:hAnsi="Times New Roman" w:cs="Times New Roman"/>
          <w:b/>
          <w:bCs/>
          <w:sz w:val="20"/>
          <w:szCs w:val="20"/>
          <w:lang w:val="en-GB"/>
        </w:rPr>
        <w:t>characteristic of adolescence</w:t>
      </w:r>
      <w:r w:rsidRPr="00FF31D4">
        <w:rPr>
          <w:rFonts w:ascii="Times New Roman" w:hAnsi="Times New Roman" w:cs="Times New Roman"/>
          <w:sz w:val="20"/>
          <w:szCs w:val="20"/>
          <w:lang w:val="en-GB"/>
        </w:rPr>
        <w:t xml:space="preserve"> (Sawyer et al., 2012). Despite these differences in the age ranges considered to define adolescence, the following stages can be established: early adolescence (10 – 13/14 years old), middle adolescence (14/15 – 16/17 years old) and late adolescence (from 17/18 years old) (Lohner, 1987; Breinbauer &amp; Maddaleno, 2005).</w:t>
      </w:r>
    </w:p>
    <w:p w14:paraId="5EECBC72" w14:textId="77777777" w:rsidR="00AC7436" w:rsidRPr="00FF31D4" w:rsidRDefault="00005B7F">
      <w:pPr>
        <w:autoSpaceDE w:val="0"/>
        <w:autoSpaceDN w:val="0"/>
        <w:adjustRightInd w:val="0"/>
        <w:spacing w:before="240" w:after="0" w:line="480" w:lineRule="auto"/>
        <w:ind w:firstLine="709"/>
        <w:jc w:val="both"/>
        <w:rPr>
          <w:rFonts w:ascii="Times New Roman" w:hAnsi="Times New Roman" w:cs="Times New Roman"/>
          <w:sz w:val="20"/>
          <w:szCs w:val="20"/>
          <w:lang w:val="en-GB"/>
        </w:rPr>
      </w:pPr>
      <w:r w:rsidRPr="00FF31D4">
        <w:rPr>
          <w:rFonts w:ascii="Times New Roman" w:hAnsi="Times New Roman" w:cs="Times New Roman"/>
          <w:sz w:val="20"/>
          <w:szCs w:val="20"/>
          <w:lang w:val="en-GB"/>
        </w:rPr>
        <w:t>In this sense, the life habits of adolescents may vary as a function of age. Specifically, as age increases, physical activity (PA) engagement is seen to decrease, sleep-related issues increase and dietary habits tend to be less healthy</w:t>
      </w:r>
      <w:r w:rsidRPr="00FF31D4">
        <w:rPr>
          <w:rFonts w:ascii="Times New Roman" w:hAnsi="Times New Roman" w:cs="Times New Roman"/>
          <w:sz w:val="20"/>
          <w:szCs w:val="20"/>
          <w:vertAlign w:val="superscript"/>
          <w:lang w:val="en-GB"/>
        </w:rPr>
        <w:t xml:space="preserve"> </w:t>
      </w:r>
      <w:r w:rsidRPr="00FF31D4">
        <w:rPr>
          <w:rFonts w:ascii="Times New Roman" w:hAnsi="Times New Roman" w:cs="Times New Roman"/>
          <w:sz w:val="20"/>
          <w:szCs w:val="20"/>
          <w:lang w:val="en-GB"/>
        </w:rPr>
        <w:t>(Sivertsen et al., 2017; Dalene et al., 2018; Christoph et al., 2019). In this way, it is crucial to consider ‘lifestyle’ as a multidimensional and dynamic construct. The changes occurring during this stage, therefore, require a more in-depth understanding in consideration of all intervening factors (Mollborn &amp; Lawrence, 2018). The ecological model of behaviour may help improve understanding of the behavioural changes undergone by young people when they interact with the environment surrounding them, with this environment playing a determining role on behavioural choices throughout adolescent development. Thus, it is not possible to understand behaviour in an isolated way or as something that results purely from maturation processes, instead requiring consideration of the aforementioned environmental interactions (Bronfenbrenner, 1977). In this sense, during the latter stages of adolescence, the power of family influence decreases, giving rise to a greater influence of peers and the social context. These agents are key to understanding the decline experienced in healthy habits (Lau et al., 2016; Moreno-Maldonado et al., 2018; Rageliené &amp; Grønhøj, 2020).</w:t>
      </w:r>
    </w:p>
    <w:p w14:paraId="3B06430C" w14:textId="45275EA3" w:rsidR="00AC7436" w:rsidRPr="00FF31D4" w:rsidRDefault="00005B7F">
      <w:pPr>
        <w:autoSpaceDE w:val="0"/>
        <w:autoSpaceDN w:val="0"/>
        <w:adjustRightInd w:val="0"/>
        <w:spacing w:before="240" w:after="0" w:line="480" w:lineRule="auto"/>
        <w:ind w:firstLine="709"/>
        <w:jc w:val="both"/>
        <w:rPr>
          <w:rFonts w:ascii="Times New Roman" w:hAnsi="Times New Roman" w:cs="Times New Roman"/>
          <w:sz w:val="20"/>
          <w:szCs w:val="20"/>
          <w:lang w:val="en-GB"/>
        </w:rPr>
      </w:pPr>
      <w:r w:rsidRPr="00FF31D4">
        <w:rPr>
          <w:rFonts w:ascii="Times New Roman" w:hAnsi="Times New Roman" w:cs="Times New Roman"/>
          <w:sz w:val="20"/>
          <w:szCs w:val="20"/>
          <w:lang w:val="en-GB"/>
        </w:rPr>
        <w:t>Turning attention to adolescent health from the cultural and social perspective, evidence demonstrates that the main issues to emerge during adolescence are more social in nature than physical due, mainly, to the fact that adolescents are forming their personal identity and experiencing more independence (Perry, 1982). In this sense, the educational system has a key role to play regarding adolescent health, especially when considering the concept of health literacy. Despite the fact that physical and psychosomatic malaise increase with advancing adolescence (Moreno et al, 2018), more than 58% of Spanish adolescents report having knowledge of inadequate or problematic health (</w:t>
      </w:r>
      <w:r w:rsidRPr="00FF31D4">
        <w:rPr>
          <w:rFonts w:ascii="Times New Roman" w:hAnsi="Times New Roman" w:cs="Times New Roman"/>
          <w:sz w:val="20"/>
          <w:szCs w:val="20"/>
          <w:shd w:val="clear" w:color="auto" w:fill="FFFFFF"/>
          <w:lang w:val="en-GB"/>
        </w:rPr>
        <w:t>Sørensen, et al., 2015</w:t>
      </w:r>
      <w:r w:rsidRPr="00FF31D4">
        <w:rPr>
          <w:rFonts w:ascii="Times New Roman" w:hAnsi="Times New Roman" w:cs="Times New Roman"/>
          <w:sz w:val="20"/>
          <w:szCs w:val="20"/>
          <w:lang w:val="en-GB"/>
        </w:rPr>
        <w:t>). With regards to the Spanish academic curriculum, despite the fact that a greater number of health-related terms appear during secondary education than at prior stages (Montero et al., 2020), when the frequency of their use in textbooks is analysed, data demonstrate that such terms are actually employed less often when moving from primary to baccalaureate education (Gavidia, 2003).</w:t>
      </w:r>
    </w:p>
    <w:p w14:paraId="7A46F0D5" w14:textId="77777777" w:rsidR="00AC7436" w:rsidRPr="00FF31D4" w:rsidRDefault="00005B7F">
      <w:pPr>
        <w:autoSpaceDE w:val="0"/>
        <w:autoSpaceDN w:val="0"/>
        <w:adjustRightInd w:val="0"/>
        <w:spacing w:before="240" w:after="0" w:line="480" w:lineRule="auto"/>
        <w:ind w:firstLine="709"/>
        <w:jc w:val="both"/>
        <w:rPr>
          <w:rFonts w:ascii="Times New Roman" w:hAnsi="Times New Roman" w:cs="Times New Roman"/>
          <w:sz w:val="20"/>
          <w:szCs w:val="20"/>
          <w:lang w:val="en-GB"/>
        </w:rPr>
      </w:pPr>
      <w:r w:rsidRPr="00FF31D4">
        <w:rPr>
          <w:rFonts w:ascii="Times New Roman" w:hAnsi="Times New Roman" w:cs="Times New Roman"/>
          <w:sz w:val="20"/>
          <w:szCs w:val="20"/>
          <w:lang w:val="en-GB"/>
        </w:rPr>
        <w:t>Likewise, the period of adolescence is also considered to be hugely important given that unhealthy behaviours can be developed as a result of the roles, responsibilities and instability that coincide with this age (</w:t>
      </w:r>
      <w:r w:rsidRPr="00FF31D4">
        <w:rPr>
          <w:rFonts w:ascii="Times New Roman" w:hAnsi="Times New Roman" w:cs="Times New Roman"/>
          <w:sz w:val="20"/>
          <w:szCs w:val="20"/>
          <w:shd w:val="clear" w:color="auto" w:fill="FFFFFF"/>
          <w:lang w:val="en-GB"/>
        </w:rPr>
        <w:t>Cala &amp; Soriano, 2014)</w:t>
      </w:r>
      <w:r w:rsidRPr="00FF31D4">
        <w:rPr>
          <w:rFonts w:ascii="Times New Roman" w:hAnsi="Times New Roman" w:cs="Times New Roman"/>
          <w:sz w:val="20"/>
          <w:szCs w:val="20"/>
          <w:lang w:val="en-GB"/>
        </w:rPr>
        <w:t xml:space="preserve">. In this way, older adolescents appear to develop unhealthy behaviours to a greater extent (Wiium et al., 2015). Similarly, risk taking increases between childhood and adolescence due to the changes brought about by puberty at a socioeconomic level. These lead to a greater drive of the dopaminergic system towards reward seeking, meaning that early and middle adolescence are particularly vulnerable stages when it comes to risk behaviour (Steinberg, 2008). Furthermore, another key Western sociocultural aspect is body image, with meeting beauty ideals being essential for the well-being of young people (Grogan, 2021). Challenges faced by adolescents throughout this stage differ over time (Ricciardelli &amp; Yager, 2015) and can lead to behavioural changes such as engagement in dietary restriction and dysfunctional exercises, with both of these behaviours being damaging to health (Rodgers et al., 2014; Jankauskiene et al., 2019). </w:t>
      </w:r>
    </w:p>
    <w:p w14:paraId="0E92148B" w14:textId="77777777" w:rsidR="00AC7436" w:rsidRPr="00FF31D4" w:rsidRDefault="00005B7F">
      <w:pPr>
        <w:autoSpaceDE w:val="0"/>
        <w:autoSpaceDN w:val="0"/>
        <w:adjustRightInd w:val="0"/>
        <w:spacing w:before="240" w:after="0" w:line="480" w:lineRule="auto"/>
        <w:ind w:firstLine="709"/>
        <w:jc w:val="both"/>
        <w:rPr>
          <w:rFonts w:ascii="Times New Roman" w:hAnsi="Times New Roman" w:cs="Times New Roman"/>
          <w:sz w:val="20"/>
          <w:szCs w:val="20"/>
          <w:lang w:val="en-GB"/>
        </w:rPr>
      </w:pPr>
      <w:r w:rsidRPr="00FF31D4">
        <w:rPr>
          <w:rFonts w:ascii="Times New Roman" w:hAnsi="Times New Roman" w:cs="Times New Roman"/>
          <w:sz w:val="20"/>
          <w:szCs w:val="20"/>
          <w:lang w:val="en-GB"/>
        </w:rPr>
        <w:t>With regards to diet, previously conducted cross-sectional studies confirm that it is common for pre-existing dietary habits to be disrupted during adolescence, leading to changes to dietary patterns (</w:t>
      </w:r>
      <w:r w:rsidRPr="00FF31D4">
        <w:rPr>
          <w:rFonts w:ascii="Times New Roman" w:hAnsi="Times New Roman" w:cs="Times New Roman"/>
          <w:sz w:val="20"/>
          <w:szCs w:val="20"/>
          <w:shd w:val="clear" w:color="auto" w:fill="FFFFFF"/>
          <w:lang w:val="en-GB"/>
        </w:rPr>
        <w:t>Winpenny et al., 2018</w:t>
      </w:r>
      <w:r w:rsidRPr="00FF31D4">
        <w:rPr>
          <w:rFonts w:ascii="Times New Roman" w:hAnsi="Times New Roman" w:cs="Times New Roman"/>
          <w:sz w:val="20"/>
          <w:szCs w:val="20"/>
          <w:lang w:val="en-GB"/>
        </w:rPr>
        <w:t xml:space="preserve">). During this stage, decisive contextual and social changes are experienced that directly impact dietary behaviours (Berge et al., 2018; </w:t>
      </w:r>
      <w:r w:rsidRPr="00FF31D4">
        <w:rPr>
          <w:rFonts w:ascii="Times New Roman" w:hAnsi="Times New Roman" w:cs="Times New Roman"/>
          <w:sz w:val="20"/>
          <w:szCs w:val="20"/>
          <w:shd w:val="clear" w:color="auto" w:fill="FFFFFF"/>
          <w:lang w:val="en-GB"/>
        </w:rPr>
        <w:t>Christoph et al., 2019; Ragelienė &amp; Grønhøj, 2020</w:t>
      </w:r>
      <w:r w:rsidRPr="00FF31D4">
        <w:rPr>
          <w:rFonts w:ascii="Times New Roman" w:hAnsi="Times New Roman" w:cs="Times New Roman"/>
          <w:sz w:val="20"/>
          <w:szCs w:val="20"/>
          <w:lang w:val="en-GB"/>
        </w:rPr>
        <w:t>). In this sense, the decrease in parental influence during adolescence increases peer influence, leading to a greater risk that adolescents will develop unhealthy habits (Pace et al., 2018). In this way, the promotion of dietary patterns, such as Mediterranean diet adherence (MD), is key during childhood and adolescence, with direct associations having been demonstrated between present and future health (Cruz et al., 2018; Watts et al., 2018).</w:t>
      </w:r>
    </w:p>
    <w:p w14:paraId="152AC109" w14:textId="77777777" w:rsidR="00AC7436" w:rsidRPr="00FF31D4" w:rsidRDefault="00005B7F">
      <w:pPr>
        <w:autoSpaceDE w:val="0"/>
        <w:autoSpaceDN w:val="0"/>
        <w:adjustRightInd w:val="0"/>
        <w:spacing w:before="240" w:after="0" w:line="480" w:lineRule="auto"/>
        <w:ind w:firstLine="709"/>
        <w:jc w:val="both"/>
        <w:rPr>
          <w:rFonts w:ascii="Times New Roman" w:hAnsi="Times New Roman" w:cs="Times New Roman"/>
          <w:sz w:val="20"/>
          <w:szCs w:val="20"/>
          <w:lang w:val="en-GB"/>
        </w:rPr>
      </w:pPr>
      <w:r w:rsidRPr="00FF31D4">
        <w:rPr>
          <w:rFonts w:ascii="Times New Roman" w:hAnsi="Times New Roman" w:cs="Times New Roman"/>
          <w:sz w:val="20"/>
          <w:szCs w:val="20"/>
          <w:lang w:val="en-GB"/>
        </w:rPr>
        <w:t>In consideration of PA, low levels within the youth population have been shown to be associated with a variety of cardiometabolic and psychosocial health issues (Tarp et al., 2018; Biddle et al., 2019). Nonetheless, despite its widely acknowledged health benefits, an insufficient percentage of adolescents meet PA guidelines laid out by the World Health Organisation (WHO) (Guthold et al., 2020). Likewise, the time spent engaged in PA engagement seems to drop by an average of 7% a year throughout adolescence, with intensity also being shown to decrease (Dumith et al., 2011; Farooq et al., 2020). Nevertheless, the exact time at which this decline begins is not clear and neither is it known whether the decline is influenced by gender (</w:t>
      </w:r>
      <w:r w:rsidRPr="00FF31D4">
        <w:rPr>
          <w:rFonts w:ascii="Times New Roman" w:hAnsi="Times New Roman" w:cs="Times New Roman"/>
          <w:sz w:val="20"/>
          <w:szCs w:val="20"/>
          <w:shd w:val="clear" w:color="auto" w:fill="FFFFFF"/>
          <w:lang w:val="en-GB"/>
        </w:rPr>
        <w:t>Metcalf</w:t>
      </w:r>
      <w:r w:rsidRPr="00FF31D4">
        <w:rPr>
          <w:rFonts w:ascii="Times New Roman" w:hAnsi="Times New Roman" w:cs="Times New Roman"/>
          <w:sz w:val="20"/>
          <w:szCs w:val="20"/>
          <w:lang w:val="en-GB"/>
        </w:rPr>
        <w:t xml:space="preserve"> et al., 2015; Farooq et al., 2017). For this reason, it is important to examine the contextual, emotional, social and family changes that independently determine PA levels in adolescents throughout their development (Kärmeniemi et al., 2018; Dishman et al., 2019: </w:t>
      </w:r>
      <w:r w:rsidRPr="00FF31D4">
        <w:rPr>
          <w:rFonts w:ascii="Times New Roman" w:hAnsi="Times New Roman" w:cs="Times New Roman"/>
          <w:sz w:val="20"/>
          <w:szCs w:val="20"/>
          <w:shd w:val="clear" w:color="auto" w:fill="FFFFFF"/>
          <w:lang w:val="en-GB"/>
        </w:rPr>
        <w:t>Doggui et al., 2021;</w:t>
      </w:r>
      <w:r w:rsidRPr="00FF31D4">
        <w:rPr>
          <w:rFonts w:ascii="Times New Roman" w:hAnsi="Times New Roman" w:cs="Times New Roman"/>
          <w:lang w:val="en-GB"/>
        </w:rPr>
        <w:t xml:space="preserve"> </w:t>
      </w:r>
      <w:r w:rsidRPr="00FF31D4">
        <w:rPr>
          <w:rFonts w:ascii="Times New Roman" w:hAnsi="Times New Roman" w:cs="Times New Roman"/>
          <w:sz w:val="20"/>
          <w:szCs w:val="20"/>
          <w:shd w:val="clear" w:color="auto" w:fill="FFFFFF"/>
          <w:lang w:val="en-GB"/>
        </w:rPr>
        <w:t>Foubister et al., 2021)</w:t>
      </w:r>
    </w:p>
    <w:p w14:paraId="243C3403" w14:textId="77777777" w:rsidR="00AC7436" w:rsidRPr="00FF31D4" w:rsidRDefault="00005B7F">
      <w:pPr>
        <w:autoSpaceDE w:val="0"/>
        <w:autoSpaceDN w:val="0"/>
        <w:adjustRightInd w:val="0"/>
        <w:spacing w:before="240" w:after="0" w:line="480" w:lineRule="auto"/>
        <w:ind w:firstLine="709"/>
        <w:jc w:val="both"/>
        <w:rPr>
          <w:rFonts w:ascii="Times New Roman" w:hAnsi="Times New Roman" w:cs="Times New Roman"/>
          <w:sz w:val="20"/>
          <w:szCs w:val="20"/>
          <w:lang w:val="en-GB"/>
        </w:rPr>
      </w:pPr>
      <w:r w:rsidRPr="00FF31D4">
        <w:rPr>
          <w:rFonts w:ascii="Times New Roman" w:hAnsi="Times New Roman" w:cs="Times New Roman"/>
          <w:sz w:val="20"/>
          <w:szCs w:val="20"/>
          <w:lang w:val="en-GB"/>
        </w:rPr>
        <w:t xml:space="preserve">In the same way, sleep patterns also change significantly during this stage (Park et al., 2019). Various studies have demonstrated that a high percentage of adolescents do not sleep enough hours (Inchley e al., 2020), with this leading to a number of health issues (Owens et al., 2017). During the passage of adolescence, sleep management and rest go through a hard reset, leading to changes at a number of different levels. Firstly, the tendency emerges from puberty to go to bed later, reducing the time spent sleeping and giving rise to higher levels of daily tiredness (Franco et al., 2020). Furthermore, older adolescents seem better able than younger adolescents to withstand long periods of wakefulness. This may explain their physiological tolerance to going to bed later at night (Tylor et al, 2005). Nonetheless, cultural factors also exist in relation to the gradual shortening of nightly sleep. These include academic demands, social activities, and the use of screens and social networks. All of these issues appear to emerge more strongly in older adolescents (Kaur &amp; Bhoday, 2017). </w:t>
      </w:r>
    </w:p>
    <w:p w14:paraId="34A42458" w14:textId="77777777" w:rsidR="00AC7436" w:rsidRPr="00FF31D4" w:rsidRDefault="00005B7F">
      <w:pPr>
        <w:autoSpaceDE w:val="0"/>
        <w:autoSpaceDN w:val="0"/>
        <w:adjustRightInd w:val="0"/>
        <w:spacing w:before="240" w:after="0" w:line="480" w:lineRule="auto"/>
        <w:ind w:firstLine="709"/>
        <w:jc w:val="both"/>
        <w:rPr>
          <w:rFonts w:ascii="Times New Roman" w:hAnsi="Times New Roman" w:cs="Times New Roman"/>
          <w:sz w:val="20"/>
          <w:szCs w:val="20"/>
          <w:lang w:val="en-GB"/>
        </w:rPr>
      </w:pPr>
      <w:r w:rsidRPr="00FF31D4">
        <w:rPr>
          <w:rFonts w:ascii="Times New Roman" w:hAnsi="Times New Roman" w:cs="Times New Roman"/>
          <w:sz w:val="20"/>
          <w:szCs w:val="20"/>
          <w:lang w:val="en-GB"/>
        </w:rPr>
        <w:t>In addition, as age increases, the relationship with other key factors involved in the acquisition of habits and routines is continually modified, with older adolescents being shown to be more exposed to aspects linked to publicity; depending to a greater extent on the socioeconomic and cultural context; and showing a stronger link with established social behavioural patterns (Campos et al., 2016; Harris et al., 2019). These lifestyle modifications, together with the biological and sexual changes inherent to this stage, could also bring with them changes to body mass index (BMI) and cardiorespiratory capacity, with these being related with different health aspects (García-Hermoso et al., 2020; Ng &amp; Cunningham, 2020).</w:t>
      </w:r>
    </w:p>
    <w:p w14:paraId="181301DD" w14:textId="2DBF6B76" w:rsidR="00AC7436" w:rsidRPr="00FF31D4" w:rsidRDefault="00005B7F">
      <w:pPr>
        <w:autoSpaceDE w:val="0"/>
        <w:autoSpaceDN w:val="0"/>
        <w:adjustRightInd w:val="0"/>
        <w:spacing w:before="240" w:after="0" w:line="480" w:lineRule="auto"/>
        <w:ind w:firstLine="709"/>
        <w:jc w:val="both"/>
        <w:rPr>
          <w:rFonts w:ascii="Times New Roman" w:hAnsi="Times New Roman" w:cs="Times New Roman"/>
          <w:sz w:val="20"/>
          <w:szCs w:val="20"/>
          <w:lang w:val="en-GB"/>
        </w:rPr>
      </w:pPr>
      <w:r w:rsidRPr="00FF31D4">
        <w:rPr>
          <w:rFonts w:ascii="Times New Roman" w:hAnsi="Times New Roman" w:cs="Times New Roman"/>
          <w:sz w:val="20"/>
          <w:szCs w:val="20"/>
          <w:lang w:val="en-GB"/>
        </w:rPr>
        <w:t xml:space="preserve">Furthermore, increasing age also seems to influence mental health and psychosocial well-being, with changes in perceptions of quality of life and self-esteem being reported throughout adolescence (Freire &amp; Ferreria, 2018; Orth et al. 2018). Health-related quality of life (HRQoL) can be defined as a psychological construct which explains diverse dominions of health and well-being from a personal perspective (Ravens-Sieberer &amp; Bullinger, 1998). Existing literature argues that, in the absence of threats to health or specific events, HRQoL is generally stable over time within adolescents (Gillison et al., 2008); however, some studies also exist that demonstrate a decline in HRQoL over the course of adolescence (Michel et al., 2009; Bolton et al. 2014; Meade &amp; Dowswell, 2015). By way of an example, one research study conducted with Spanish adolescents reported significant declines in older adolescents, regardless of </w:t>
      </w:r>
      <w:r w:rsidR="00567BCC" w:rsidRPr="00FF31D4">
        <w:rPr>
          <w:rFonts w:ascii="Times New Roman" w:hAnsi="Times New Roman" w:cs="Times New Roman"/>
          <w:sz w:val="20"/>
          <w:szCs w:val="20"/>
          <w:lang w:val="en-GB"/>
        </w:rPr>
        <w:t>sex</w:t>
      </w:r>
      <w:r w:rsidRPr="00FF31D4">
        <w:rPr>
          <w:rFonts w:ascii="Times New Roman" w:hAnsi="Times New Roman" w:cs="Times New Roman"/>
          <w:sz w:val="20"/>
          <w:szCs w:val="20"/>
          <w:lang w:val="en-GB"/>
        </w:rPr>
        <w:t>, in a majority of analysed dimensions (Palacio-Vieira et al., 2008). In this sense, physical and mental well-being specifically appear to experience a sharp decline with age (Bisegger et al., 2005). This may be due to the challenges inherent to the adolescent stage and the changes experienced at a physical, psychological and social level, leading to a meaningful increase in mental health issues (Otto et al., 2017).</w:t>
      </w:r>
    </w:p>
    <w:p w14:paraId="2C3B301C" w14:textId="77777777" w:rsidR="00AC7436" w:rsidRPr="00FF31D4" w:rsidRDefault="00005B7F">
      <w:pPr>
        <w:autoSpaceDE w:val="0"/>
        <w:autoSpaceDN w:val="0"/>
        <w:adjustRightInd w:val="0"/>
        <w:spacing w:before="240" w:after="0" w:line="480" w:lineRule="auto"/>
        <w:ind w:firstLine="709"/>
        <w:jc w:val="both"/>
        <w:rPr>
          <w:rFonts w:ascii="Times New Roman" w:hAnsi="Times New Roman" w:cs="Times New Roman"/>
          <w:sz w:val="20"/>
          <w:szCs w:val="20"/>
          <w:lang w:val="en-GB"/>
        </w:rPr>
      </w:pPr>
      <w:r w:rsidRPr="00FF31D4">
        <w:rPr>
          <w:rFonts w:ascii="Times New Roman" w:hAnsi="Times New Roman" w:cs="Times New Roman"/>
          <w:sz w:val="20"/>
          <w:szCs w:val="20"/>
          <w:lang w:val="en-GB"/>
        </w:rPr>
        <w:t xml:space="preserve">Finally, with regards to the course of self-esteem throughout the basic life cycle, levels tend to increase between the ages of 4 and 11, plateau between the ages of 11 and 15, and then increase up until the age of 60, with later decreases being seen from the age of 70 onwards (Orth et al., 2018). In this sense, although diverse studies corroborate the stability of self-esteem during adolescence (Birkeland et al., 2012; Orth et al., 2018), some findings have revealed a decrease during this same stage (Cai et al., 2014; Chung et al., 2017). Thus, although self-esteem seems to be moderately stable over time within a given context, variations may take place during human developmental transitions (Huang et al., 2010). In this way, pubertal, family and social changes inherent to the adolescent stage, alongside the effectiveness of self-regulatory mechanisms, may be associated with the aforementioned changes to self-esteem (Caprara et al., 2013; Fu et al., 2017; </w:t>
      </w:r>
      <w:r w:rsidRPr="00FF31D4">
        <w:rPr>
          <w:rFonts w:ascii="Times New Roman" w:hAnsi="Times New Roman" w:cs="Times New Roman"/>
          <w:sz w:val="20"/>
          <w:szCs w:val="20"/>
          <w:shd w:val="clear" w:color="auto" w:fill="FFFFFF"/>
          <w:lang w:val="en-GB"/>
        </w:rPr>
        <w:t>Simmons &amp; Blyth, 2017; Godfrey et al., 2019; Krauss et al., 2020)</w:t>
      </w:r>
      <w:r w:rsidRPr="00FF31D4">
        <w:rPr>
          <w:rFonts w:ascii="Times New Roman" w:hAnsi="Times New Roman" w:cs="Times New Roman"/>
          <w:sz w:val="20"/>
          <w:szCs w:val="20"/>
          <w:lang w:val="en-GB"/>
        </w:rPr>
        <w:t xml:space="preserve">. Along the same lines, age appears to influence the effectiveness of emotional regulation and whether or not one suffers disorders such as stress, anxiety, depression or body dissatisfaction. These aspects also directly influence self-esteem (Sandal et al., 2017; Theurel </w:t>
      </w:r>
      <w:r w:rsidRPr="00FF31D4">
        <w:rPr>
          <w:rFonts w:ascii="Times New Roman" w:hAnsi="Times New Roman" w:cs="Times New Roman"/>
          <w:sz w:val="20"/>
          <w:szCs w:val="20"/>
          <w:shd w:val="clear" w:color="auto" w:fill="FFFFFF"/>
          <w:lang w:val="en-GB"/>
        </w:rPr>
        <w:t>&amp; Gentaz, 2018; Wang et al., 2019)</w:t>
      </w:r>
      <w:r w:rsidRPr="00FF31D4">
        <w:rPr>
          <w:rFonts w:ascii="Times New Roman" w:hAnsi="Times New Roman" w:cs="Times New Roman"/>
          <w:sz w:val="20"/>
          <w:szCs w:val="20"/>
          <w:lang w:val="en-GB"/>
        </w:rPr>
        <w:t>.</w:t>
      </w:r>
    </w:p>
    <w:p w14:paraId="75B17E2E" w14:textId="77777777" w:rsidR="00AC7436" w:rsidRPr="00FF31D4" w:rsidRDefault="00005B7F">
      <w:pPr>
        <w:autoSpaceDE w:val="0"/>
        <w:autoSpaceDN w:val="0"/>
        <w:adjustRightInd w:val="0"/>
        <w:spacing w:before="240" w:after="0" w:line="480" w:lineRule="auto"/>
        <w:ind w:firstLine="709"/>
        <w:jc w:val="both"/>
        <w:rPr>
          <w:rFonts w:ascii="Times New Roman" w:hAnsi="Times New Roman" w:cs="Times New Roman"/>
          <w:sz w:val="20"/>
          <w:szCs w:val="20"/>
          <w:lang w:val="en-GB"/>
        </w:rPr>
      </w:pPr>
      <w:r w:rsidRPr="00FF31D4">
        <w:rPr>
          <w:rFonts w:ascii="Times New Roman" w:hAnsi="Times New Roman" w:cs="Times New Roman"/>
          <w:sz w:val="20"/>
          <w:szCs w:val="20"/>
          <w:lang w:val="en-GB"/>
        </w:rPr>
        <w:t>In consideration of the array of changes experienced during this stage, adolescence is a key period for the promotion of healthy habits, in addition to the physical and psychosocial well-being of young people. This is so because, during the transition to adulthood, previously adopted lifestyles and existing health will determine future health</w:t>
      </w:r>
      <w:r w:rsidRPr="00FF31D4">
        <w:rPr>
          <w:rFonts w:ascii="Times New Roman" w:hAnsi="Times New Roman" w:cs="Times New Roman"/>
          <w:sz w:val="20"/>
          <w:szCs w:val="20"/>
          <w:vertAlign w:val="superscript"/>
          <w:lang w:val="en-GB"/>
        </w:rPr>
        <w:t xml:space="preserve"> </w:t>
      </w:r>
      <w:r w:rsidRPr="00FF31D4">
        <w:rPr>
          <w:rFonts w:ascii="Times New Roman" w:hAnsi="Times New Roman" w:cs="Times New Roman"/>
          <w:sz w:val="20"/>
          <w:szCs w:val="20"/>
          <w:lang w:val="en-GB"/>
        </w:rPr>
        <w:t>(Viner et al., 2015; Lawrence et al., 2017). In this way, identifying and understanding the lifestyle habits and changes to well-being that take place during this period are key to the development of interventions targeting different age groups. Previous research focused efforts on examining the relationship between specific aspects of health and age. Nonetheless, the aim of the present research was to examine this aforementioned relationship in a general sense, considering diverse physical and psychosocial health indicators, alongside lifestyle habits in two adolescent samples undertaking first or fourth year mandatory secondary education. These two academic years were selected due to the fact that, when the aforementioned classification is applied, first-year students are at the first stage of adolescence, whilst fourth-year students are already well into the adolescent stage. For this, PA levels, MD, hours of nightly sleep, HRQoL, self-esteem, BMI and cardiorespiratory capacity were evaluated.</w:t>
      </w:r>
    </w:p>
    <w:p w14:paraId="3542AD03" w14:textId="77777777" w:rsidR="00AC7436" w:rsidRPr="00FF31D4" w:rsidRDefault="00005B7F">
      <w:pPr>
        <w:pStyle w:val="Default"/>
        <w:spacing w:before="240" w:after="240" w:line="480" w:lineRule="auto"/>
        <w:ind w:firstLine="709"/>
        <w:jc w:val="center"/>
        <w:rPr>
          <w:b/>
          <w:bCs/>
          <w:color w:val="auto"/>
          <w:sz w:val="20"/>
          <w:szCs w:val="20"/>
          <w:lang w:val="en-GB"/>
        </w:rPr>
      </w:pPr>
      <w:r w:rsidRPr="00FF31D4">
        <w:rPr>
          <w:b/>
          <w:bCs/>
          <w:color w:val="auto"/>
          <w:sz w:val="20"/>
          <w:szCs w:val="20"/>
          <w:lang w:val="en-GB"/>
        </w:rPr>
        <w:t>Methods</w:t>
      </w:r>
    </w:p>
    <w:p w14:paraId="59F42122" w14:textId="192109ED" w:rsidR="00AC7436" w:rsidRPr="00FF31D4" w:rsidRDefault="00005B7F">
      <w:pPr>
        <w:pStyle w:val="Default"/>
        <w:spacing w:before="240" w:line="480" w:lineRule="auto"/>
        <w:ind w:firstLine="709"/>
        <w:jc w:val="both"/>
        <w:rPr>
          <w:color w:val="auto"/>
          <w:sz w:val="20"/>
          <w:szCs w:val="20"/>
          <w:lang w:val="en-GB"/>
        </w:rPr>
      </w:pPr>
      <w:bookmarkStart w:id="2" w:name="_Hlk67303521"/>
      <w:r w:rsidRPr="00FF31D4">
        <w:rPr>
          <w:color w:val="auto"/>
          <w:sz w:val="20"/>
          <w:szCs w:val="20"/>
          <w:lang w:val="en-GB"/>
        </w:rPr>
        <w:t>A cross-sectional study was proposed with a sample of first- and fourth-year secondary school students attending educational centres in La Rioja, a northern region of Spain. The sample was selected using single stage cluster sampling, with the classrooms corresponding to each of the aforementioned school years providing the sampling unit. To ensure that the sample was representative of both school years, the overall population was considered (3470 1st year secondary school pupils and 2548 4th year pupils), 95% confidence intervals were established 95%, precision was set at 5%, and the proportion of the population was set at 50%. Taking these parameters as a reference, a representative sample was ensured with 346 and 334 first- and fourth-year students, respectively. Given that the average number of students in each classroom was 25 in both cases and compliance was estimated at 60%, 23 first year classrooms and 22 fourth year classrooms were randomly selected, with all students in the selected classrooms being invited to participate in the study. Finally, 82% accepted, obtaining a final sample which was made up of 761 adolescents from 45 classrooms and 25 educational centres, of which 383 pertained to the first year (13.01 ± 0.62 years) and 378 pertained to the fourth year (16.03 ± 0.63 years).</w:t>
      </w:r>
      <w:r w:rsidRPr="00FF31D4">
        <w:rPr>
          <w:color w:val="auto"/>
          <w:lang w:val="en-GB"/>
        </w:rPr>
        <w:t xml:space="preserve"> </w:t>
      </w:r>
      <w:r w:rsidRPr="00FF31D4">
        <w:rPr>
          <w:color w:val="auto"/>
          <w:sz w:val="20"/>
          <w:szCs w:val="20"/>
          <w:lang w:val="en-GB"/>
        </w:rPr>
        <w:t xml:space="preserve">With regards to sample characteristics, no differences were found with regards to </w:t>
      </w:r>
      <w:r w:rsidR="00567BCC" w:rsidRPr="00FF31D4">
        <w:rPr>
          <w:color w:val="auto"/>
          <w:sz w:val="20"/>
          <w:szCs w:val="20"/>
          <w:lang w:val="en-GB"/>
        </w:rPr>
        <w:t>sex</w:t>
      </w:r>
      <w:r w:rsidRPr="00FF31D4">
        <w:rPr>
          <w:color w:val="auto"/>
          <w:sz w:val="20"/>
          <w:szCs w:val="20"/>
          <w:lang w:val="en-GB"/>
        </w:rPr>
        <w:t>, nationality or socioeconomic status (SES) between the different age groups. With regards to first-year students, 50.5% were females, whilst 50.1% of the fourth-year sample was female (p</w:t>
      </w:r>
      <w:r w:rsidR="0013022B" w:rsidRPr="00FF31D4">
        <w:rPr>
          <w:color w:val="auto"/>
          <w:sz w:val="20"/>
          <w:szCs w:val="20"/>
          <w:lang w:val="en-GB"/>
        </w:rPr>
        <w:t xml:space="preserve"> </w:t>
      </w:r>
      <w:r w:rsidRPr="00FF31D4">
        <w:rPr>
          <w:color w:val="auto"/>
          <w:sz w:val="20"/>
          <w:szCs w:val="20"/>
          <w:lang w:val="en-GB"/>
        </w:rPr>
        <w:t>=</w:t>
      </w:r>
      <w:r w:rsidR="0013022B" w:rsidRPr="00FF31D4">
        <w:rPr>
          <w:color w:val="auto"/>
          <w:sz w:val="20"/>
          <w:szCs w:val="20"/>
          <w:lang w:val="en-GB"/>
        </w:rPr>
        <w:t xml:space="preserve"> </w:t>
      </w:r>
      <w:r w:rsidRPr="00FF31D4">
        <w:rPr>
          <w:color w:val="auto"/>
          <w:sz w:val="20"/>
          <w:szCs w:val="20"/>
          <w:lang w:val="en-GB"/>
        </w:rPr>
        <w:t>0.912). A total of 10.7% and 11.4% of first- and fourth-year students, respectively, had been born outside of Spain (p</w:t>
      </w:r>
      <w:r w:rsidR="0013022B" w:rsidRPr="00FF31D4">
        <w:rPr>
          <w:color w:val="auto"/>
          <w:sz w:val="20"/>
          <w:szCs w:val="20"/>
          <w:lang w:val="en-GB"/>
        </w:rPr>
        <w:t xml:space="preserve"> </w:t>
      </w:r>
      <w:r w:rsidRPr="00FF31D4">
        <w:rPr>
          <w:color w:val="auto"/>
          <w:sz w:val="20"/>
          <w:szCs w:val="20"/>
          <w:lang w:val="en-GB"/>
        </w:rPr>
        <w:t>=</w:t>
      </w:r>
      <w:r w:rsidR="0013022B" w:rsidRPr="00FF31D4">
        <w:rPr>
          <w:color w:val="auto"/>
          <w:sz w:val="20"/>
          <w:szCs w:val="20"/>
          <w:lang w:val="en-GB"/>
        </w:rPr>
        <w:t xml:space="preserve"> </w:t>
      </w:r>
      <w:r w:rsidRPr="00FF31D4">
        <w:rPr>
          <w:color w:val="auto"/>
          <w:sz w:val="20"/>
          <w:szCs w:val="20"/>
          <w:lang w:val="en-GB"/>
        </w:rPr>
        <w:t>0.768). Finally, with regards to first-year students, 30% had a low-medium SES, whilst 29.6% (p</w:t>
      </w:r>
      <w:r w:rsidR="0013022B" w:rsidRPr="00FF31D4">
        <w:rPr>
          <w:color w:val="auto"/>
          <w:sz w:val="20"/>
          <w:szCs w:val="20"/>
          <w:lang w:val="en-GB"/>
        </w:rPr>
        <w:t xml:space="preserve"> </w:t>
      </w:r>
      <w:r w:rsidRPr="00FF31D4">
        <w:rPr>
          <w:color w:val="auto"/>
          <w:sz w:val="20"/>
          <w:szCs w:val="20"/>
          <w:lang w:val="en-GB"/>
        </w:rPr>
        <w:t>=</w:t>
      </w:r>
      <w:r w:rsidR="0013022B" w:rsidRPr="00FF31D4">
        <w:rPr>
          <w:color w:val="auto"/>
          <w:sz w:val="20"/>
          <w:szCs w:val="20"/>
          <w:lang w:val="en-GB"/>
        </w:rPr>
        <w:t xml:space="preserve"> </w:t>
      </w:r>
      <w:r w:rsidRPr="00FF31D4">
        <w:rPr>
          <w:color w:val="auto"/>
          <w:sz w:val="20"/>
          <w:szCs w:val="20"/>
          <w:lang w:val="en-GB"/>
        </w:rPr>
        <w:t>0.905) of fourth-year students reported this same status.</w:t>
      </w:r>
    </w:p>
    <w:bookmarkEnd w:id="2"/>
    <w:p w14:paraId="05A7F56A" w14:textId="77777777" w:rsidR="00AC7436" w:rsidRPr="00FF31D4" w:rsidRDefault="00005B7F">
      <w:pPr>
        <w:pStyle w:val="Default"/>
        <w:spacing w:before="240" w:line="480" w:lineRule="auto"/>
        <w:ind w:firstLine="708"/>
        <w:jc w:val="both"/>
        <w:rPr>
          <w:color w:val="auto"/>
          <w:sz w:val="20"/>
          <w:szCs w:val="20"/>
          <w:lang w:val="en-GB"/>
        </w:rPr>
      </w:pPr>
      <w:r w:rsidRPr="00FF31D4">
        <w:rPr>
          <w:color w:val="auto"/>
          <w:sz w:val="20"/>
          <w:szCs w:val="20"/>
          <w:lang w:val="en-GB"/>
        </w:rPr>
        <w:t>All of the pupils who participated in the study did so voluntarily and the ethical principles for research laid out in the Declaration of Helsinki were respected at all times. Informed consent of the legal guardians or parents of the pupils was received. The study was approved by the Ethical Committee for Clinical Research of La Rioja. Field work was conducted by the research team at the educational centres during teaching hours. The same action protocol was applied in all cases. This protocol included the following: A self-administered questionnaire, anthropometric measures and a physical aptitude test.</w:t>
      </w:r>
    </w:p>
    <w:p w14:paraId="177E91BE" w14:textId="77777777" w:rsidR="00AC7436" w:rsidRPr="00FF31D4" w:rsidRDefault="00005B7F">
      <w:pPr>
        <w:pStyle w:val="Default"/>
        <w:spacing w:before="240" w:line="480" w:lineRule="auto"/>
        <w:jc w:val="both"/>
        <w:rPr>
          <w:b/>
          <w:bCs/>
          <w:i/>
          <w:iCs/>
          <w:color w:val="auto"/>
          <w:sz w:val="20"/>
          <w:szCs w:val="20"/>
          <w:lang w:val="en-GB"/>
        </w:rPr>
      </w:pPr>
      <w:r w:rsidRPr="00FF31D4">
        <w:rPr>
          <w:b/>
          <w:bCs/>
          <w:i/>
          <w:iCs/>
          <w:color w:val="auto"/>
          <w:sz w:val="20"/>
          <w:szCs w:val="20"/>
          <w:lang w:val="en-GB"/>
        </w:rPr>
        <w:t>Instruments</w:t>
      </w:r>
    </w:p>
    <w:p w14:paraId="6DA9DC45" w14:textId="77777777" w:rsidR="00AC7436" w:rsidRPr="00FF31D4" w:rsidRDefault="00005B7F">
      <w:pPr>
        <w:pStyle w:val="Default"/>
        <w:spacing w:after="240" w:line="480" w:lineRule="auto"/>
        <w:ind w:firstLine="709"/>
        <w:jc w:val="both"/>
        <w:rPr>
          <w:color w:val="auto"/>
          <w:sz w:val="20"/>
          <w:szCs w:val="20"/>
          <w:lang w:val="en-GB"/>
        </w:rPr>
      </w:pPr>
      <w:r w:rsidRPr="00FF31D4">
        <w:rPr>
          <w:iCs/>
          <w:color w:val="auto"/>
          <w:sz w:val="20"/>
          <w:szCs w:val="20"/>
          <w:lang w:val="en-GB"/>
        </w:rPr>
        <w:t>Health-related quality of life was evaluated</w:t>
      </w:r>
      <w:r w:rsidRPr="00FF31D4">
        <w:rPr>
          <w:color w:val="auto"/>
          <w:sz w:val="20"/>
          <w:szCs w:val="20"/>
          <w:lang w:val="en-GB"/>
        </w:rPr>
        <w:t xml:space="preserve"> through the KIDSCREEN-27 instrument, which was validated with Spanish adolescents by Aymerich et al.</w:t>
      </w:r>
      <w:r w:rsidRPr="00FF31D4">
        <w:rPr>
          <w:color w:val="auto"/>
          <w:sz w:val="20"/>
          <w:szCs w:val="20"/>
          <w:vertAlign w:val="superscript"/>
          <w:lang w:val="en-GB"/>
        </w:rPr>
        <w:t xml:space="preserve"> </w:t>
      </w:r>
      <w:r w:rsidRPr="00FF31D4">
        <w:rPr>
          <w:color w:val="auto"/>
          <w:sz w:val="20"/>
          <w:szCs w:val="20"/>
          <w:lang w:val="en-GB"/>
        </w:rPr>
        <w:t xml:space="preserve">(2005). This questionnaire evaluates quality of life from a multidimensional perspective through 27 items. Items are rated along a five-point Likert type scale. These items are grouped according to five dimensions: </w:t>
      </w:r>
    </w:p>
    <w:p w14:paraId="28743063" w14:textId="77777777" w:rsidR="00AC7436" w:rsidRPr="00FF31D4" w:rsidRDefault="00005B7F">
      <w:pPr>
        <w:pStyle w:val="Default"/>
        <w:spacing w:line="480" w:lineRule="auto"/>
        <w:ind w:firstLine="709"/>
        <w:jc w:val="both"/>
        <w:rPr>
          <w:color w:val="auto"/>
          <w:sz w:val="20"/>
          <w:szCs w:val="20"/>
          <w:lang w:val="en-GB"/>
        </w:rPr>
      </w:pPr>
      <w:r w:rsidRPr="00FF31D4">
        <w:rPr>
          <w:color w:val="auto"/>
          <w:sz w:val="20"/>
          <w:szCs w:val="20"/>
          <w:lang w:val="en-GB"/>
        </w:rPr>
        <w:t>1. Physical well-being (5 items): Analyses aspects such as perceptions of physical status, energy levels and PA levels.</w:t>
      </w:r>
    </w:p>
    <w:p w14:paraId="0C712068" w14:textId="77777777" w:rsidR="00AC7436" w:rsidRPr="00FF31D4" w:rsidRDefault="00005B7F">
      <w:pPr>
        <w:pStyle w:val="Default"/>
        <w:spacing w:line="480" w:lineRule="auto"/>
        <w:ind w:firstLine="709"/>
        <w:jc w:val="both"/>
        <w:rPr>
          <w:color w:val="auto"/>
          <w:sz w:val="20"/>
          <w:szCs w:val="20"/>
          <w:lang w:val="en-GB"/>
        </w:rPr>
      </w:pPr>
      <w:r w:rsidRPr="00FF31D4">
        <w:rPr>
          <w:color w:val="auto"/>
          <w:sz w:val="20"/>
          <w:szCs w:val="20"/>
          <w:lang w:val="en-GB"/>
        </w:rPr>
        <w:t>2. Psychological well-being (7 items): Explores psychological issues such as positive emotions, feelings and life satisfaction.</w:t>
      </w:r>
    </w:p>
    <w:p w14:paraId="6AF4F279" w14:textId="77777777" w:rsidR="00AC7436" w:rsidRPr="00FF31D4" w:rsidRDefault="00005B7F">
      <w:pPr>
        <w:pStyle w:val="Default"/>
        <w:spacing w:line="480" w:lineRule="auto"/>
        <w:ind w:firstLine="709"/>
        <w:jc w:val="both"/>
        <w:rPr>
          <w:color w:val="auto"/>
          <w:sz w:val="20"/>
          <w:szCs w:val="20"/>
          <w:lang w:val="en-GB"/>
        </w:rPr>
      </w:pPr>
      <w:r w:rsidRPr="00FF31D4">
        <w:rPr>
          <w:color w:val="auto"/>
          <w:sz w:val="20"/>
          <w:szCs w:val="20"/>
          <w:lang w:val="en-GB"/>
        </w:rPr>
        <w:t>3. Autonomy and parents (7 items): Reflects aspects such as family interaction, home setting and perceived autonomy at a financial and personal level.</w:t>
      </w:r>
    </w:p>
    <w:p w14:paraId="5206EABE" w14:textId="77777777" w:rsidR="00AC7436" w:rsidRPr="00FF31D4" w:rsidRDefault="00005B7F">
      <w:pPr>
        <w:pStyle w:val="Default"/>
        <w:spacing w:line="480" w:lineRule="auto"/>
        <w:ind w:firstLine="709"/>
        <w:jc w:val="both"/>
        <w:rPr>
          <w:color w:val="auto"/>
          <w:sz w:val="20"/>
          <w:szCs w:val="20"/>
          <w:lang w:val="en-GB"/>
        </w:rPr>
      </w:pPr>
      <w:r w:rsidRPr="00FF31D4">
        <w:rPr>
          <w:color w:val="auto"/>
          <w:sz w:val="20"/>
          <w:szCs w:val="20"/>
          <w:lang w:val="en-GB"/>
        </w:rPr>
        <w:t>4. Friends and social support (4 items): Evaluates the quality of social relationships and interactions with peers.</w:t>
      </w:r>
    </w:p>
    <w:p w14:paraId="6E684C51" w14:textId="77777777" w:rsidR="00AC7436" w:rsidRPr="00FF31D4" w:rsidRDefault="00005B7F">
      <w:pPr>
        <w:pStyle w:val="Default"/>
        <w:spacing w:line="480" w:lineRule="auto"/>
        <w:ind w:firstLine="709"/>
        <w:jc w:val="both"/>
        <w:rPr>
          <w:color w:val="auto"/>
          <w:sz w:val="20"/>
          <w:szCs w:val="20"/>
          <w:lang w:val="en-GB"/>
        </w:rPr>
      </w:pPr>
      <w:r w:rsidRPr="00FF31D4">
        <w:rPr>
          <w:color w:val="auto"/>
          <w:sz w:val="20"/>
          <w:szCs w:val="20"/>
          <w:lang w:val="en-GB"/>
        </w:rPr>
        <w:t>5. School setting (4 items): Analyses perceptions of aspects related with cognitive capacity, concentration and feelings in relation to the educational setting.</w:t>
      </w:r>
    </w:p>
    <w:p w14:paraId="3244C2B4" w14:textId="77777777" w:rsidR="00AC7436" w:rsidRPr="00FF31D4" w:rsidRDefault="00005B7F">
      <w:pPr>
        <w:pStyle w:val="Default"/>
        <w:spacing w:before="240" w:line="480" w:lineRule="auto"/>
        <w:ind w:firstLine="709"/>
        <w:jc w:val="both"/>
        <w:rPr>
          <w:color w:val="auto"/>
          <w:sz w:val="20"/>
          <w:szCs w:val="20"/>
          <w:lang w:val="en-GB"/>
        </w:rPr>
      </w:pPr>
      <w:r w:rsidRPr="00FF31D4">
        <w:rPr>
          <w:color w:val="auto"/>
          <w:sz w:val="20"/>
          <w:szCs w:val="20"/>
          <w:lang w:val="en-GB"/>
        </w:rPr>
        <w:t>Gathered data were handled in accordance with parameters established by the authors of the questionnaire. Rasch techniques were used to obtain a score corresponding to each dimension (Ravens-Sieberer et al., 2006). An overall score was also obtained by adding up individual scores for the five dimensions. Scores ranged between 0 and 135, with the higher scores pertaining to more positive perceptions of HRQoL.</w:t>
      </w:r>
    </w:p>
    <w:p w14:paraId="12EE2FDC" w14:textId="77777777" w:rsidR="00AC7436" w:rsidRPr="00FF31D4" w:rsidRDefault="00005B7F">
      <w:pPr>
        <w:pStyle w:val="Default"/>
        <w:spacing w:before="240" w:line="480" w:lineRule="auto"/>
        <w:ind w:firstLine="709"/>
        <w:jc w:val="both"/>
        <w:rPr>
          <w:color w:val="auto"/>
          <w:sz w:val="20"/>
          <w:szCs w:val="20"/>
          <w:lang w:val="en-GB"/>
        </w:rPr>
      </w:pPr>
      <w:r w:rsidRPr="00FF31D4">
        <w:rPr>
          <w:color w:val="auto"/>
          <w:sz w:val="20"/>
          <w:szCs w:val="20"/>
          <w:lang w:val="en-GB"/>
        </w:rPr>
        <w:t>For the evaluation of adolescents’ self-esteem, the Rosenberg self-esteem scale was used, which was adapted and validated within Spanish adolescents by Atienza et al. (2000). The scale measures global self-worth by measuring both positive and negative feelings about the self through ten statements rated on a scale of one (totally disagree) to four (totally agree). The first five items are positively framed (for example, “I am convinced that I have good qualities”), whilst the latter five are negatively framed (for example, “I sometimes think that I am not a good person”). Possible final scores range between ten and forty, with higher scores representing greater self-esteem.</w:t>
      </w:r>
    </w:p>
    <w:p w14:paraId="56AED4CD" w14:textId="365839C2" w:rsidR="00AC7436" w:rsidRPr="00FF31D4" w:rsidRDefault="00005B7F">
      <w:pPr>
        <w:pStyle w:val="Default"/>
        <w:spacing w:before="240" w:line="480" w:lineRule="auto"/>
        <w:ind w:firstLine="709"/>
        <w:jc w:val="both"/>
        <w:rPr>
          <w:color w:val="auto"/>
          <w:sz w:val="20"/>
          <w:szCs w:val="20"/>
          <w:lang w:val="en-GB"/>
        </w:rPr>
      </w:pPr>
      <w:r w:rsidRPr="00FF31D4">
        <w:rPr>
          <w:color w:val="auto"/>
          <w:sz w:val="20"/>
          <w:szCs w:val="20"/>
          <w:lang w:val="en-GB"/>
        </w:rPr>
        <w:t>Engagement in physical activity was estimated through the application of the Physical Activity Questionnaire for Adolescents (PAQ-A), validated and adapted into Spanish by Martínez-Gómez et al. (2009). The questionnaire rates the type and frequency of PA engaged in by the adolescent over the seven days prior to questionnaire completion, obtaining values between one and five, with five being the value that represents a higher level of PA. Furthermore, the measure asks about engagement in organised sport activities outside of school hours, the time at which the respondent goes to bed at night and wakes up in the morning, and the method of transport used to arrive at the educational centre.</w:t>
      </w:r>
    </w:p>
    <w:p w14:paraId="0C269A10" w14:textId="77777777" w:rsidR="00AC7436" w:rsidRPr="00FF31D4" w:rsidRDefault="00005B7F">
      <w:pPr>
        <w:pStyle w:val="Default"/>
        <w:spacing w:before="240" w:line="480" w:lineRule="auto"/>
        <w:ind w:firstLine="709"/>
        <w:jc w:val="both"/>
        <w:rPr>
          <w:color w:val="auto"/>
          <w:sz w:val="20"/>
          <w:szCs w:val="20"/>
          <w:lang w:val="en-GB"/>
        </w:rPr>
      </w:pPr>
      <w:r w:rsidRPr="00FF31D4">
        <w:rPr>
          <w:color w:val="auto"/>
          <w:sz w:val="20"/>
          <w:szCs w:val="20"/>
          <w:lang w:val="en-GB"/>
        </w:rPr>
        <w:t>With the purpose of evaluating adherence to the Mediterranean diet, the Mediterranean Diet Quality (KIDMED) questionnaire developed by Serra-Majem et al. (2004) was used. This instrument comprises sixteen dichotomously scored items (yes or no) pertaining to engagement in MD habits. Positive responses to four items (1, 4, 11 and 15) are scored as -1 given that they denote a negative relationship with the MD (for example, “I do not eat breakfast everyday”), whilst positive responses to all remaining items are scored as +1 (for example, “Has a second fruit everyday”). A final score is calculated by adding up all item scores. Possible scores range from minus four to twelve, with higher scores indicating greater MD adherence.</w:t>
      </w:r>
    </w:p>
    <w:p w14:paraId="3FF10645" w14:textId="77777777" w:rsidR="00AC7436" w:rsidRPr="00FF31D4" w:rsidRDefault="00005B7F">
      <w:pPr>
        <w:pStyle w:val="Default"/>
        <w:spacing w:before="240" w:line="480" w:lineRule="auto"/>
        <w:ind w:firstLine="709"/>
        <w:jc w:val="both"/>
        <w:rPr>
          <w:color w:val="auto"/>
          <w:sz w:val="20"/>
          <w:szCs w:val="20"/>
          <w:lang w:val="en-GB"/>
        </w:rPr>
      </w:pPr>
      <w:r w:rsidRPr="00FF31D4">
        <w:rPr>
          <w:color w:val="auto"/>
          <w:sz w:val="20"/>
          <w:szCs w:val="20"/>
          <w:lang w:val="en-GB"/>
        </w:rPr>
        <w:t xml:space="preserve">Furthermore, with the aim of detecting random, insincere or pseudo-random responses, the Oviedo Infrequency Scale (INF-OV) (Fonseca-Pedrero et al., 2009) was administered. This is a self-report instrument with basic and dichotomous response options (yes or no). Six of these questions are embedded throughout the course of the questionnaire (for example, “Do you know somebody who wears glasses?” and “Have you ever seen children play in the park?”). Participants providing responses to these questions that went against logic were excluded from analysis.  </w:t>
      </w:r>
    </w:p>
    <w:p w14:paraId="1C8A5039" w14:textId="77777777" w:rsidR="00AC7436" w:rsidRPr="00FF31D4" w:rsidRDefault="00005B7F">
      <w:pPr>
        <w:pStyle w:val="Default"/>
        <w:spacing w:before="240" w:line="480" w:lineRule="auto"/>
        <w:ind w:firstLine="709"/>
        <w:jc w:val="both"/>
        <w:rPr>
          <w:color w:val="auto"/>
          <w:sz w:val="20"/>
          <w:szCs w:val="20"/>
          <w:lang w:val="en-GB"/>
        </w:rPr>
      </w:pPr>
      <w:r w:rsidRPr="00FF31D4">
        <w:rPr>
          <w:color w:val="auto"/>
          <w:sz w:val="20"/>
          <w:szCs w:val="20"/>
          <w:lang w:val="en-GB"/>
        </w:rPr>
        <w:t>With respect to the evaluation of aerobic capacity, the Course-Navette Test was used. The test requires participants to run between two lines which are 20 metres apart, moving at a pace dictated by an acoustic signal which progressively increases in speed. The initial speed required is 8.5 km/h and this increases by 0.5 km/h every minute. The test ends when the participant voluntarily pulls out or is unable to complete the course at the required speed on two consecutive occasions. When this occurs, the last complete or half-complete period is recorded, with each of these recorded periods representing a full minute. Following this, VO</w:t>
      </w:r>
      <w:r w:rsidRPr="00FF31D4">
        <w:rPr>
          <w:color w:val="auto"/>
          <w:sz w:val="20"/>
          <w:szCs w:val="20"/>
          <w:vertAlign w:val="subscript"/>
          <w:lang w:val="en-GB"/>
        </w:rPr>
        <w:t>2</w:t>
      </w:r>
      <w:r w:rsidRPr="00FF31D4">
        <w:rPr>
          <w:color w:val="auto"/>
          <w:sz w:val="20"/>
          <w:szCs w:val="20"/>
          <w:lang w:val="en-GB"/>
        </w:rPr>
        <w:t>max was estimated in relation to body mass (ml/kg/min) via the formula stipulated by Leger et al. (1988).</w:t>
      </w:r>
    </w:p>
    <w:p w14:paraId="0134554E" w14:textId="77777777" w:rsidR="00AC7436" w:rsidRPr="00FF31D4" w:rsidRDefault="00005B7F">
      <w:pPr>
        <w:spacing w:before="240" w:after="0" w:line="480" w:lineRule="auto"/>
        <w:ind w:firstLine="709"/>
        <w:jc w:val="both"/>
        <w:rPr>
          <w:rFonts w:ascii="Times New Roman" w:hAnsi="Times New Roman" w:cs="Times New Roman"/>
          <w:sz w:val="20"/>
          <w:szCs w:val="20"/>
          <w:lang w:val="en-GB"/>
        </w:rPr>
      </w:pPr>
      <w:r w:rsidRPr="00FF31D4">
        <w:rPr>
          <w:rFonts w:ascii="Times New Roman" w:hAnsi="Times New Roman" w:cs="Times New Roman"/>
          <w:sz w:val="20"/>
          <w:szCs w:val="20"/>
          <w:lang w:val="en-GB"/>
        </w:rPr>
        <w:t>Finally, for the measurement of weight and size a SECA® scale (713, Hamburg, Germany) with a precision of 0.1 kg and a Holtain® stadiometer (Holtain Ltd., Dyfed, United Kingdom), with a precision of one millimetre, were used respectively. In order to evaluate both variables, the action protocol established by the International Society for the Advancement of Kinanthropometry was followed (Stewart et al., 2011). Once BMI was obtained, Z-scores were calculated using the digital software Anthro Plus®, categorising participants as a function of cut-points defined by the WHO for young people aged between 5 and 19 years. The three resultant categories were normal weight, overweight and obese</w:t>
      </w:r>
      <w:r w:rsidRPr="00FF31D4">
        <w:rPr>
          <w:rFonts w:ascii="Times New Roman" w:hAnsi="Times New Roman" w:cs="Times New Roman"/>
          <w:sz w:val="20"/>
          <w:szCs w:val="20"/>
          <w:vertAlign w:val="superscript"/>
          <w:lang w:val="en-GB"/>
        </w:rPr>
        <w:t xml:space="preserve"> </w:t>
      </w:r>
      <w:r w:rsidRPr="00FF31D4">
        <w:rPr>
          <w:rFonts w:ascii="Times New Roman" w:hAnsi="Times New Roman" w:cs="Times New Roman"/>
          <w:sz w:val="20"/>
          <w:szCs w:val="20"/>
          <w:lang w:val="en-GB"/>
        </w:rPr>
        <w:t>(Onis et al., 2007).</w:t>
      </w:r>
    </w:p>
    <w:p w14:paraId="4FB94676" w14:textId="357004F0" w:rsidR="00AC7436" w:rsidRPr="00FF31D4" w:rsidRDefault="00005B7F">
      <w:pPr>
        <w:spacing w:before="240" w:after="0" w:line="480" w:lineRule="auto"/>
        <w:ind w:firstLine="709"/>
        <w:jc w:val="both"/>
        <w:rPr>
          <w:rFonts w:ascii="Times New Roman" w:hAnsi="Times New Roman" w:cs="Times New Roman"/>
          <w:sz w:val="20"/>
          <w:szCs w:val="20"/>
          <w:lang w:val="en-GB"/>
        </w:rPr>
      </w:pPr>
      <w:r w:rsidRPr="00FF31D4">
        <w:rPr>
          <w:rFonts w:ascii="Times New Roman" w:hAnsi="Times New Roman" w:cs="Times New Roman"/>
          <w:sz w:val="20"/>
          <w:szCs w:val="20"/>
          <w:lang w:val="en-GB"/>
        </w:rPr>
        <w:t xml:space="preserve">With regards to sociodemographic data, participants reported their </w:t>
      </w:r>
      <w:r w:rsidR="0044079C" w:rsidRPr="00FF31D4">
        <w:rPr>
          <w:rFonts w:ascii="Times New Roman" w:hAnsi="Times New Roman" w:cs="Times New Roman"/>
          <w:sz w:val="20"/>
          <w:szCs w:val="20"/>
          <w:lang w:val="en-GB"/>
        </w:rPr>
        <w:t>sex</w:t>
      </w:r>
      <w:r w:rsidRPr="00FF31D4">
        <w:rPr>
          <w:rFonts w:ascii="Times New Roman" w:hAnsi="Times New Roman" w:cs="Times New Roman"/>
          <w:sz w:val="20"/>
          <w:szCs w:val="20"/>
          <w:lang w:val="en-GB"/>
        </w:rPr>
        <w:t>, date of birth and nationality (born in Spain or in another country). The Family Affluence Scale (FAS II) scale was used to evaluate socioeconomic status. This comprises four questions related with family ownership of material goods</w:t>
      </w:r>
      <w:r w:rsidRPr="00FF31D4">
        <w:rPr>
          <w:rFonts w:ascii="Times New Roman" w:hAnsi="Times New Roman" w:cs="Times New Roman"/>
          <w:sz w:val="20"/>
          <w:szCs w:val="20"/>
          <w:vertAlign w:val="superscript"/>
          <w:lang w:val="en-GB"/>
        </w:rPr>
        <w:t xml:space="preserve"> </w:t>
      </w:r>
      <w:r w:rsidRPr="00FF31D4">
        <w:rPr>
          <w:rFonts w:ascii="Times New Roman" w:hAnsi="Times New Roman" w:cs="Times New Roman"/>
          <w:sz w:val="20"/>
          <w:szCs w:val="20"/>
          <w:lang w:val="en-GB"/>
        </w:rPr>
        <w:t>(Currie et al., 2008). Final scores range between zero and nine, being categorised as low (≤2), medium (3-5) or high (≥6) SES. With regards to data handling, adolescents reporting low (1.8%) or medium (28%) SES were ultimately grouped together due to the low number reporting the former.</w:t>
      </w:r>
    </w:p>
    <w:p w14:paraId="11D0EE65" w14:textId="77777777" w:rsidR="00AC7436" w:rsidRPr="00FF31D4" w:rsidRDefault="00005B7F">
      <w:pPr>
        <w:spacing w:before="240" w:after="0" w:line="480" w:lineRule="auto"/>
        <w:ind w:firstLine="708"/>
        <w:jc w:val="both"/>
        <w:rPr>
          <w:rFonts w:ascii="Times New Roman" w:hAnsi="Times New Roman" w:cs="Times New Roman"/>
          <w:sz w:val="20"/>
          <w:szCs w:val="20"/>
          <w:lang w:val="en-GB"/>
        </w:rPr>
      </w:pPr>
      <w:r w:rsidRPr="00FF31D4">
        <w:rPr>
          <w:rFonts w:ascii="Times New Roman" w:hAnsi="Times New Roman" w:cs="Times New Roman"/>
          <w:b/>
          <w:bCs/>
          <w:i/>
          <w:iCs/>
          <w:sz w:val="20"/>
          <w:szCs w:val="20"/>
          <w:lang w:val="en-GB"/>
        </w:rPr>
        <w:t xml:space="preserve">Statistical Analysis: </w:t>
      </w:r>
    </w:p>
    <w:p w14:paraId="1756493F" w14:textId="77777777" w:rsidR="00AC7436" w:rsidRPr="00FF31D4" w:rsidRDefault="00005B7F">
      <w:pPr>
        <w:pStyle w:val="Default"/>
        <w:spacing w:before="240" w:line="480" w:lineRule="auto"/>
        <w:ind w:firstLine="708"/>
        <w:jc w:val="both"/>
        <w:rPr>
          <w:color w:val="auto"/>
          <w:sz w:val="20"/>
          <w:szCs w:val="20"/>
          <w:lang w:val="en-GB"/>
        </w:rPr>
      </w:pPr>
      <w:r w:rsidRPr="00FF31D4">
        <w:rPr>
          <w:color w:val="auto"/>
          <w:sz w:val="20"/>
          <w:szCs w:val="20"/>
          <w:lang w:val="en-GB"/>
        </w:rPr>
        <w:t>Quantitative variables are represented by means and standards deviations, whilst qualitative variables, in other words, those corresponding to categorical traits (for example, boy/girl), are represented using frequencies. Normality and homoscedasticity of the data were analysed applying the Kolmogorov-Smirnov test with Lilliefors correction and the Levene test, respectively. In cases when variables showed normal distribution, comparison of the means between the groups attending first and fourth year secondary school was made using T-test analysis. The Mann-Whitney U test was used for variables which showed non-normal distribution. In the case of qualitative variables, associations were analysed through the Pearson chi-squared test.</w:t>
      </w:r>
      <w:r w:rsidRPr="00FF31D4">
        <w:rPr>
          <w:color w:val="auto"/>
          <w:lang w:val="en-GB"/>
        </w:rPr>
        <w:t xml:space="preserve"> </w:t>
      </w:r>
      <w:r w:rsidRPr="00FF31D4">
        <w:rPr>
          <w:color w:val="auto"/>
          <w:sz w:val="20"/>
          <w:szCs w:val="20"/>
          <w:lang w:val="en-GB"/>
        </w:rPr>
        <w:t xml:space="preserve">Likewise, correlational analysis was conducted to relate age with health indicators and lifestyle habits. Pearson correlations were used for normally distributed variables, whilst Spearman correlations were used for non-normally distributed variables. The program IBM-SPSS® was used for the statistical analysis in its version 25 for Windows. The significance level was established at </w:t>
      </w:r>
      <w:r w:rsidRPr="00FF31D4">
        <w:rPr>
          <w:rFonts w:eastAsia="Times New Roman"/>
          <w:color w:val="auto"/>
          <w:sz w:val="20"/>
          <w:szCs w:val="20"/>
          <w:lang w:val="en-GB" w:eastAsia="es-ES"/>
        </w:rPr>
        <w:t xml:space="preserve">p </w:t>
      </w:r>
      <w:r w:rsidRPr="00FF31D4">
        <w:rPr>
          <w:color w:val="auto"/>
          <w:sz w:val="20"/>
          <w:szCs w:val="20"/>
          <w:lang w:val="en-GB"/>
        </w:rPr>
        <w:t xml:space="preserve">&lt; 0.05 for all cases. </w:t>
      </w:r>
    </w:p>
    <w:p w14:paraId="6444C456" w14:textId="77777777" w:rsidR="00AC7436" w:rsidRPr="00FF31D4" w:rsidRDefault="00005B7F">
      <w:pPr>
        <w:spacing w:before="240" w:after="0" w:line="480" w:lineRule="auto"/>
        <w:ind w:firstLine="709"/>
        <w:jc w:val="center"/>
        <w:rPr>
          <w:rFonts w:ascii="Times New Roman" w:hAnsi="Times New Roman" w:cs="Times New Roman"/>
          <w:b/>
          <w:sz w:val="20"/>
          <w:szCs w:val="20"/>
          <w:lang w:val="en-GB"/>
        </w:rPr>
      </w:pPr>
      <w:r w:rsidRPr="00FF31D4">
        <w:rPr>
          <w:rFonts w:ascii="Times New Roman" w:hAnsi="Times New Roman" w:cs="Times New Roman"/>
          <w:b/>
          <w:sz w:val="20"/>
          <w:szCs w:val="20"/>
          <w:lang w:val="en-GB"/>
        </w:rPr>
        <w:t>Results</w:t>
      </w:r>
    </w:p>
    <w:p w14:paraId="3D2CF7E6" w14:textId="7D990034" w:rsidR="00AC7436" w:rsidRPr="00FF31D4" w:rsidRDefault="00005B7F">
      <w:pPr>
        <w:spacing w:before="240" w:line="480" w:lineRule="auto"/>
        <w:ind w:firstLine="708"/>
        <w:jc w:val="both"/>
        <w:rPr>
          <w:rFonts w:ascii="Times New Roman" w:hAnsi="Times New Roman" w:cs="Times New Roman"/>
          <w:sz w:val="20"/>
          <w:szCs w:val="20"/>
          <w:lang w:val="en-GB"/>
        </w:rPr>
      </w:pPr>
      <w:r w:rsidRPr="00FF31D4">
        <w:rPr>
          <w:rFonts w:ascii="Times New Roman" w:hAnsi="Times New Roman" w:cs="Times New Roman"/>
          <w:sz w:val="20"/>
          <w:szCs w:val="20"/>
          <w:lang w:val="en-GB"/>
        </w:rPr>
        <w:t xml:space="preserve">Table 1 shows the categorisation of body mass index according to school year and </w:t>
      </w:r>
      <w:r w:rsidR="0044079C" w:rsidRPr="00FF31D4">
        <w:rPr>
          <w:rFonts w:ascii="Times New Roman" w:hAnsi="Times New Roman" w:cs="Times New Roman"/>
          <w:sz w:val="20"/>
          <w:szCs w:val="20"/>
          <w:lang w:val="en-GB"/>
        </w:rPr>
        <w:t>sex</w:t>
      </w:r>
      <w:r w:rsidRPr="00FF31D4">
        <w:rPr>
          <w:rFonts w:ascii="Times New Roman" w:hAnsi="Times New Roman" w:cs="Times New Roman"/>
          <w:sz w:val="20"/>
          <w:szCs w:val="20"/>
          <w:lang w:val="en-GB"/>
        </w:rPr>
        <w:t>, as a function of the standards defined by WHO. As can be seen, percentages of overweight and obesity were lower amongst older pupils (p</w:t>
      </w:r>
      <w:r w:rsidR="0013022B" w:rsidRPr="00FF31D4">
        <w:rPr>
          <w:rFonts w:ascii="Times New Roman" w:hAnsi="Times New Roman" w:cs="Times New Roman"/>
          <w:sz w:val="20"/>
          <w:szCs w:val="20"/>
          <w:lang w:val="en-GB"/>
        </w:rPr>
        <w:t xml:space="preserve"> </w:t>
      </w:r>
      <w:r w:rsidRPr="00FF31D4">
        <w:rPr>
          <w:rFonts w:ascii="Times New Roman" w:hAnsi="Times New Roman" w:cs="Times New Roman"/>
          <w:sz w:val="20"/>
          <w:szCs w:val="20"/>
          <w:lang w:val="en-GB"/>
        </w:rPr>
        <w:t>=</w:t>
      </w:r>
      <w:r w:rsidR="0013022B" w:rsidRPr="00FF31D4">
        <w:rPr>
          <w:rFonts w:ascii="Times New Roman" w:hAnsi="Times New Roman" w:cs="Times New Roman"/>
          <w:sz w:val="20"/>
          <w:szCs w:val="20"/>
          <w:lang w:val="en-GB"/>
        </w:rPr>
        <w:t xml:space="preserve"> </w:t>
      </w:r>
      <w:r w:rsidRPr="00FF31D4">
        <w:rPr>
          <w:rFonts w:ascii="Times New Roman" w:hAnsi="Times New Roman" w:cs="Times New Roman"/>
          <w:sz w:val="20"/>
          <w:szCs w:val="20"/>
          <w:lang w:val="en-GB"/>
        </w:rPr>
        <w:t>0.001), with these findings only being significant in the case of boys.</w:t>
      </w:r>
    </w:p>
    <w:p w14:paraId="012F1889" w14:textId="77777777" w:rsidR="00AC7436" w:rsidRPr="00FF31D4" w:rsidRDefault="00005B7F">
      <w:pPr>
        <w:spacing w:before="240" w:line="240" w:lineRule="auto"/>
        <w:jc w:val="both"/>
        <w:rPr>
          <w:rFonts w:ascii="Times New Roman" w:hAnsi="Times New Roman" w:cs="Times New Roman"/>
          <w:i/>
          <w:iCs/>
          <w:sz w:val="20"/>
          <w:szCs w:val="20"/>
          <w:lang w:val="en-GB"/>
        </w:rPr>
      </w:pPr>
      <w:r w:rsidRPr="00FF31D4">
        <w:rPr>
          <w:rFonts w:ascii="Times New Roman" w:hAnsi="Times New Roman" w:cs="Times New Roman"/>
          <w:b/>
          <w:sz w:val="20"/>
          <w:szCs w:val="20"/>
          <w:lang w:val="en-GB"/>
        </w:rPr>
        <w:t>Table 1</w:t>
      </w:r>
      <w:r w:rsidRPr="00FF31D4">
        <w:rPr>
          <w:rFonts w:ascii="Times New Roman" w:hAnsi="Times New Roman" w:cs="Times New Roman"/>
          <w:bCs/>
          <w:sz w:val="20"/>
          <w:szCs w:val="20"/>
          <w:lang w:val="en-GB"/>
        </w:rPr>
        <w:t xml:space="preserve">. </w:t>
      </w:r>
      <w:r w:rsidRPr="00FF31D4">
        <w:rPr>
          <w:rFonts w:ascii="Times New Roman" w:hAnsi="Times New Roman" w:cs="Times New Roman"/>
          <w:sz w:val="20"/>
          <w:szCs w:val="20"/>
          <w:lang w:val="en-GB"/>
        </w:rPr>
        <w:t>Categorization of body composition according to sex and grade.</w:t>
      </w:r>
    </w:p>
    <w:tbl>
      <w:tblPr>
        <w:tblStyle w:val="Tablaconcuadrcula"/>
        <w:tblW w:w="5000" w:type="pct"/>
        <w:jc w:val="center"/>
        <w:tblBorders>
          <w:left w:val="none" w:sz="0" w:space="0" w:color="auto"/>
          <w:right w:val="none" w:sz="0" w:space="0" w:color="auto"/>
          <w:insideH w:val="none" w:sz="0" w:space="0" w:color="auto"/>
          <w:insideV w:val="none" w:sz="0" w:space="0" w:color="auto"/>
        </w:tblBorders>
        <w:tblCellMar>
          <w:left w:w="57" w:type="dxa"/>
          <w:right w:w="57" w:type="dxa"/>
        </w:tblCellMar>
        <w:tblLook w:val="04A0" w:firstRow="1" w:lastRow="0" w:firstColumn="1" w:lastColumn="0" w:noHBand="0" w:noVBand="1"/>
      </w:tblPr>
      <w:tblGrid>
        <w:gridCol w:w="1308"/>
        <w:gridCol w:w="1568"/>
        <w:gridCol w:w="1990"/>
        <w:gridCol w:w="2565"/>
        <w:gridCol w:w="1073"/>
      </w:tblGrid>
      <w:tr w:rsidR="00FF31D4" w:rsidRPr="00FF31D4" w14:paraId="0F133A7B" w14:textId="77777777">
        <w:trPr>
          <w:trHeight w:hRule="exact" w:val="340"/>
          <w:jc w:val="center"/>
        </w:trPr>
        <w:tc>
          <w:tcPr>
            <w:tcW w:w="769" w:type="pct"/>
            <w:tcBorders>
              <w:top w:val="single" w:sz="4" w:space="0" w:color="auto"/>
              <w:bottom w:val="single" w:sz="4" w:space="0" w:color="auto"/>
            </w:tcBorders>
            <w:vAlign w:val="center"/>
          </w:tcPr>
          <w:p w14:paraId="06CCFB6B" w14:textId="77777777" w:rsidR="00AC7436" w:rsidRPr="00FF31D4" w:rsidRDefault="00AC7436">
            <w:pPr>
              <w:spacing w:after="0" w:line="240" w:lineRule="auto"/>
              <w:jc w:val="both"/>
              <w:rPr>
                <w:rFonts w:ascii="Times New Roman" w:hAnsi="Times New Roman" w:cs="Times New Roman"/>
                <w:sz w:val="14"/>
                <w:szCs w:val="14"/>
                <w:lang w:val="en-GB"/>
              </w:rPr>
            </w:pPr>
          </w:p>
        </w:tc>
        <w:tc>
          <w:tcPr>
            <w:tcW w:w="922" w:type="pct"/>
            <w:tcBorders>
              <w:top w:val="single" w:sz="4" w:space="0" w:color="auto"/>
              <w:bottom w:val="single" w:sz="4" w:space="0" w:color="auto"/>
            </w:tcBorders>
            <w:vAlign w:val="center"/>
          </w:tcPr>
          <w:p w14:paraId="00D5DB78" w14:textId="77777777" w:rsidR="00AC7436" w:rsidRPr="00FF31D4" w:rsidRDefault="00005B7F">
            <w:pPr>
              <w:spacing w:after="0" w:line="240" w:lineRule="auto"/>
              <w:jc w:val="center"/>
              <w:rPr>
                <w:rFonts w:ascii="Times New Roman" w:hAnsi="Times New Roman" w:cs="Times New Roman"/>
                <w:sz w:val="14"/>
                <w:szCs w:val="14"/>
                <w:lang w:val="en-GB"/>
              </w:rPr>
            </w:pPr>
            <w:r w:rsidRPr="00FF31D4">
              <w:rPr>
                <w:rFonts w:ascii="Times New Roman" w:hAnsi="Times New Roman" w:cs="Times New Roman"/>
                <w:sz w:val="14"/>
                <w:szCs w:val="14"/>
                <w:lang w:val="en-GB"/>
              </w:rPr>
              <w:t>Academic year</w:t>
            </w:r>
          </w:p>
        </w:tc>
        <w:tc>
          <w:tcPr>
            <w:tcW w:w="1170" w:type="pct"/>
            <w:tcBorders>
              <w:top w:val="single" w:sz="4" w:space="0" w:color="auto"/>
              <w:bottom w:val="single" w:sz="4" w:space="0" w:color="auto"/>
            </w:tcBorders>
            <w:vAlign w:val="center"/>
          </w:tcPr>
          <w:p w14:paraId="27512DED" w14:textId="77777777" w:rsidR="00AC7436" w:rsidRPr="00FF31D4" w:rsidRDefault="00005B7F">
            <w:pPr>
              <w:spacing w:after="0" w:line="240" w:lineRule="auto"/>
              <w:jc w:val="center"/>
              <w:rPr>
                <w:rFonts w:ascii="Times New Roman" w:hAnsi="Times New Roman" w:cs="Times New Roman"/>
                <w:sz w:val="14"/>
                <w:szCs w:val="14"/>
                <w:lang w:val="en-GB"/>
              </w:rPr>
            </w:pPr>
            <w:r w:rsidRPr="00FF31D4">
              <w:rPr>
                <w:rFonts w:ascii="Times New Roman" w:hAnsi="Times New Roman" w:cs="Times New Roman"/>
                <w:sz w:val="14"/>
                <w:szCs w:val="14"/>
                <w:lang w:val="en-GB"/>
              </w:rPr>
              <w:t>Normal-weight</w:t>
            </w:r>
          </w:p>
        </w:tc>
        <w:tc>
          <w:tcPr>
            <w:tcW w:w="1508" w:type="pct"/>
            <w:tcBorders>
              <w:top w:val="single" w:sz="4" w:space="0" w:color="auto"/>
              <w:bottom w:val="single" w:sz="4" w:space="0" w:color="auto"/>
            </w:tcBorders>
            <w:vAlign w:val="center"/>
          </w:tcPr>
          <w:p w14:paraId="705B9614" w14:textId="77777777" w:rsidR="00AC7436" w:rsidRPr="00FF31D4" w:rsidRDefault="00005B7F">
            <w:pPr>
              <w:spacing w:after="0" w:line="240" w:lineRule="auto"/>
              <w:jc w:val="center"/>
              <w:rPr>
                <w:rFonts w:ascii="Times New Roman" w:hAnsi="Times New Roman" w:cs="Times New Roman"/>
                <w:sz w:val="14"/>
                <w:szCs w:val="14"/>
                <w:lang w:val="en-GB"/>
              </w:rPr>
            </w:pPr>
            <w:r w:rsidRPr="00FF31D4">
              <w:rPr>
                <w:rFonts w:ascii="Times New Roman" w:hAnsi="Times New Roman" w:cs="Times New Roman"/>
                <w:sz w:val="14"/>
                <w:szCs w:val="14"/>
                <w:lang w:val="en-GB"/>
              </w:rPr>
              <w:t>Overweight/Obesity</w:t>
            </w:r>
          </w:p>
        </w:tc>
        <w:tc>
          <w:tcPr>
            <w:tcW w:w="631" w:type="pct"/>
            <w:tcBorders>
              <w:top w:val="single" w:sz="4" w:space="0" w:color="auto"/>
              <w:bottom w:val="single" w:sz="4" w:space="0" w:color="auto"/>
            </w:tcBorders>
            <w:vAlign w:val="center"/>
          </w:tcPr>
          <w:p w14:paraId="04997B13" w14:textId="77777777" w:rsidR="00AC7436" w:rsidRPr="00FF31D4" w:rsidRDefault="00005B7F">
            <w:pPr>
              <w:spacing w:after="0" w:line="240" w:lineRule="auto"/>
              <w:jc w:val="center"/>
              <w:rPr>
                <w:rFonts w:ascii="Times New Roman" w:hAnsi="Times New Roman" w:cs="Times New Roman"/>
                <w:sz w:val="14"/>
                <w:szCs w:val="14"/>
                <w:lang w:val="en-GB"/>
              </w:rPr>
            </w:pPr>
            <w:r w:rsidRPr="00FF31D4">
              <w:rPr>
                <w:rFonts w:ascii="Times New Roman" w:eastAsia="Times New Roman" w:hAnsi="Times New Roman" w:cs="Times New Roman"/>
                <w:i/>
                <w:sz w:val="14"/>
                <w:szCs w:val="14"/>
                <w:lang w:val="en-GB" w:eastAsia="es-ES"/>
              </w:rPr>
              <w:t>p</w:t>
            </w:r>
            <w:r w:rsidRPr="00FF31D4">
              <w:rPr>
                <w:rFonts w:ascii="Times New Roman" w:eastAsia="Times New Roman" w:hAnsi="Times New Roman" w:cs="Times New Roman"/>
                <w:sz w:val="14"/>
                <w:szCs w:val="14"/>
                <w:lang w:val="en-GB" w:eastAsia="es-ES"/>
              </w:rPr>
              <w:t xml:space="preserve"> value</w:t>
            </w:r>
          </w:p>
        </w:tc>
      </w:tr>
      <w:tr w:rsidR="00FF31D4" w:rsidRPr="00FF31D4" w14:paraId="413BB7CE" w14:textId="77777777">
        <w:trPr>
          <w:trHeight w:hRule="exact" w:val="340"/>
          <w:jc w:val="center"/>
        </w:trPr>
        <w:tc>
          <w:tcPr>
            <w:tcW w:w="769" w:type="pct"/>
            <w:vMerge w:val="restart"/>
            <w:tcBorders>
              <w:top w:val="single" w:sz="4" w:space="0" w:color="auto"/>
            </w:tcBorders>
            <w:vAlign w:val="center"/>
          </w:tcPr>
          <w:p w14:paraId="6FB74B76" w14:textId="77777777" w:rsidR="00AC7436" w:rsidRPr="00FF31D4" w:rsidRDefault="00005B7F">
            <w:pPr>
              <w:spacing w:after="0" w:line="240" w:lineRule="auto"/>
              <w:jc w:val="both"/>
              <w:rPr>
                <w:rFonts w:ascii="Times New Roman" w:hAnsi="Times New Roman" w:cs="Times New Roman"/>
                <w:sz w:val="14"/>
                <w:szCs w:val="14"/>
                <w:lang w:val="en-GB"/>
              </w:rPr>
            </w:pPr>
            <w:r w:rsidRPr="00FF31D4">
              <w:rPr>
                <w:rFonts w:ascii="Times New Roman" w:hAnsi="Times New Roman" w:cs="Times New Roman"/>
                <w:sz w:val="14"/>
                <w:szCs w:val="14"/>
                <w:lang w:val="en-GB"/>
              </w:rPr>
              <w:t>All</w:t>
            </w:r>
          </w:p>
          <w:p w14:paraId="65D6D258" w14:textId="1AFF2CA3" w:rsidR="00AC7436" w:rsidRPr="00FF31D4" w:rsidRDefault="00005B7F">
            <w:pPr>
              <w:spacing w:after="0" w:line="240" w:lineRule="auto"/>
              <w:jc w:val="both"/>
              <w:rPr>
                <w:rFonts w:ascii="Times New Roman" w:hAnsi="Times New Roman" w:cs="Times New Roman"/>
                <w:sz w:val="14"/>
                <w:szCs w:val="14"/>
                <w:lang w:val="en-GB"/>
              </w:rPr>
            </w:pPr>
            <w:r w:rsidRPr="00FF31D4">
              <w:rPr>
                <w:rFonts w:ascii="Times New Roman" w:hAnsi="Times New Roman" w:cs="Times New Roman"/>
                <w:sz w:val="14"/>
                <w:szCs w:val="14"/>
                <w:lang w:val="en-GB"/>
              </w:rPr>
              <w:t>(n</w:t>
            </w:r>
            <w:r w:rsidR="0013022B" w:rsidRPr="00FF31D4">
              <w:rPr>
                <w:rFonts w:ascii="Times New Roman" w:hAnsi="Times New Roman" w:cs="Times New Roman"/>
                <w:sz w:val="14"/>
                <w:szCs w:val="14"/>
                <w:lang w:val="en-GB"/>
              </w:rPr>
              <w:t xml:space="preserve"> </w:t>
            </w:r>
            <w:r w:rsidRPr="00FF31D4">
              <w:rPr>
                <w:rFonts w:ascii="Times New Roman" w:hAnsi="Times New Roman" w:cs="Times New Roman"/>
                <w:sz w:val="14"/>
                <w:szCs w:val="14"/>
                <w:lang w:val="en-GB"/>
              </w:rPr>
              <w:t>=</w:t>
            </w:r>
            <w:r w:rsidR="0013022B" w:rsidRPr="00FF31D4">
              <w:rPr>
                <w:rFonts w:ascii="Times New Roman" w:hAnsi="Times New Roman" w:cs="Times New Roman"/>
                <w:sz w:val="14"/>
                <w:szCs w:val="14"/>
                <w:lang w:val="en-GB"/>
              </w:rPr>
              <w:t xml:space="preserve"> </w:t>
            </w:r>
            <w:r w:rsidRPr="00FF31D4">
              <w:rPr>
                <w:rFonts w:ascii="Times New Roman" w:hAnsi="Times New Roman" w:cs="Times New Roman"/>
                <w:sz w:val="14"/>
                <w:szCs w:val="14"/>
                <w:lang w:val="en-GB"/>
              </w:rPr>
              <w:t>761)</w:t>
            </w:r>
          </w:p>
        </w:tc>
        <w:tc>
          <w:tcPr>
            <w:tcW w:w="922" w:type="pct"/>
            <w:tcBorders>
              <w:top w:val="single" w:sz="4" w:space="0" w:color="auto"/>
            </w:tcBorders>
            <w:vAlign w:val="center"/>
          </w:tcPr>
          <w:p w14:paraId="7D506A22" w14:textId="77777777" w:rsidR="00AC7436" w:rsidRPr="00FF31D4" w:rsidRDefault="00005B7F">
            <w:pPr>
              <w:spacing w:after="0" w:line="240" w:lineRule="auto"/>
              <w:jc w:val="center"/>
              <w:rPr>
                <w:rFonts w:ascii="Times New Roman" w:hAnsi="Times New Roman" w:cs="Times New Roman"/>
                <w:sz w:val="14"/>
                <w:szCs w:val="14"/>
                <w:lang w:val="en-GB"/>
              </w:rPr>
            </w:pPr>
            <w:r w:rsidRPr="00FF31D4">
              <w:rPr>
                <w:rFonts w:ascii="Times New Roman" w:hAnsi="Times New Roman" w:cs="Times New Roman"/>
                <w:sz w:val="14"/>
                <w:szCs w:val="14"/>
                <w:lang w:val="en-GB"/>
              </w:rPr>
              <w:t>First year</w:t>
            </w:r>
          </w:p>
        </w:tc>
        <w:tc>
          <w:tcPr>
            <w:tcW w:w="1170" w:type="pct"/>
            <w:tcBorders>
              <w:top w:val="single" w:sz="4" w:space="0" w:color="auto"/>
            </w:tcBorders>
            <w:vAlign w:val="center"/>
          </w:tcPr>
          <w:p w14:paraId="11049756" w14:textId="77777777" w:rsidR="00AC7436" w:rsidRPr="00FF31D4" w:rsidRDefault="00005B7F">
            <w:pPr>
              <w:spacing w:after="0" w:line="240" w:lineRule="auto"/>
              <w:jc w:val="center"/>
              <w:rPr>
                <w:rFonts w:ascii="Times New Roman" w:hAnsi="Times New Roman" w:cs="Times New Roman"/>
                <w:sz w:val="14"/>
                <w:szCs w:val="14"/>
                <w:lang w:val="en-GB"/>
              </w:rPr>
            </w:pPr>
            <w:r w:rsidRPr="00FF31D4">
              <w:rPr>
                <w:rFonts w:ascii="Times New Roman" w:hAnsi="Times New Roman" w:cs="Times New Roman"/>
                <w:sz w:val="14"/>
                <w:szCs w:val="14"/>
                <w:lang w:val="en-GB"/>
              </w:rPr>
              <w:t>68.7%</w:t>
            </w:r>
          </w:p>
        </w:tc>
        <w:tc>
          <w:tcPr>
            <w:tcW w:w="1508" w:type="pct"/>
            <w:tcBorders>
              <w:top w:val="single" w:sz="4" w:space="0" w:color="auto"/>
            </w:tcBorders>
            <w:vAlign w:val="center"/>
          </w:tcPr>
          <w:p w14:paraId="782E70D1" w14:textId="77777777" w:rsidR="00AC7436" w:rsidRPr="00FF31D4" w:rsidRDefault="00005B7F">
            <w:pPr>
              <w:spacing w:after="0" w:line="240" w:lineRule="auto"/>
              <w:jc w:val="center"/>
              <w:rPr>
                <w:rFonts w:ascii="Times New Roman" w:hAnsi="Times New Roman" w:cs="Times New Roman"/>
                <w:sz w:val="14"/>
                <w:szCs w:val="14"/>
                <w:lang w:val="en-GB"/>
              </w:rPr>
            </w:pPr>
            <w:r w:rsidRPr="00FF31D4">
              <w:rPr>
                <w:rFonts w:ascii="Times New Roman" w:hAnsi="Times New Roman" w:cs="Times New Roman"/>
                <w:sz w:val="14"/>
                <w:szCs w:val="14"/>
                <w:lang w:val="en-GB"/>
              </w:rPr>
              <w:t>31.3%</w:t>
            </w:r>
          </w:p>
        </w:tc>
        <w:tc>
          <w:tcPr>
            <w:tcW w:w="631" w:type="pct"/>
            <w:vMerge w:val="restart"/>
            <w:tcBorders>
              <w:top w:val="single" w:sz="4" w:space="0" w:color="auto"/>
            </w:tcBorders>
            <w:vAlign w:val="center"/>
          </w:tcPr>
          <w:p w14:paraId="28AAF312" w14:textId="77777777" w:rsidR="00AC7436" w:rsidRPr="00FF31D4" w:rsidRDefault="00005B7F">
            <w:pPr>
              <w:spacing w:after="0" w:line="240" w:lineRule="auto"/>
              <w:jc w:val="center"/>
              <w:rPr>
                <w:rFonts w:ascii="Times New Roman" w:hAnsi="Times New Roman" w:cs="Times New Roman"/>
                <w:sz w:val="14"/>
                <w:szCs w:val="14"/>
                <w:lang w:val="en-GB"/>
              </w:rPr>
            </w:pPr>
            <w:r w:rsidRPr="00FF31D4">
              <w:rPr>
                <w:rFonts w:ascii="Times New Roman" w:hAnsi="Times New Roman" w:cs="Times New Roman"/>
                <w:sz w:val="14"/>
                <w:szCs w:val="14"/>
                <w:lang w:val="en-GB"/>
              </w:rPr>
              <w:t>0.001</w:t>
            </w:r>
          </w:p>
        </w:tc>
      </w:tr>
      <w:tr w:rsidR="00FF31D4" w:rsidRPr="00FF31D4" w14:paraId="55FA43E1" w14:textId="77777777">
        <w:trPr>
          <w:trHeight w:hRule="exact" w:val="340"/>
          <w:jc w:val="center"/>
        </w:trPr>
        <w:tc>
          <w:tcPr>
            <w:tcW w:w="769" w:type="pct"/>
            <w:vMerge/>
            <w:vAlign w:val="center"/>
          </w:tcPr>
          <w:p w14:paraId="2B073181" w14:textId="77777777" w:rsidR="00AC7436" w:rsidRPr="00FF31D4" w:rsidRDefault="00AC7436">
            <w:pPr>
              <w:spacing w:after="0" w:line="240" w:lineRule="auto"/>
              <w:jc w:val="both"/>
              <w:rPr>
                <w:rFonts w:ascii="Times New Roman" w:hAnsi="Times New Roman" w:cs="Times New Roman"/>
                <w:sz w:val="14"/>
                <w:szCs w:val="14"/>
                <w:lang w:val="en-GB"/>
              </w:rPr>
            </w:pPr>
          </w:p>
        </w:tc>
        <w:tc>
          <w:tcPr>
            <w:tcW w:w="922" w:type="pct"/>
            <w:tcBorders>
              <w:bottom w:val="single" w:sz="4" w:space="0" w:color="auto"/>
            </w:tcBorders>
            <w:vAlign w:val="center"/>
          </w:tcPr>
          <w:p w14:paraId="4E02E945" w14:textId="77777777" w:rsidR="00AC7436" w:rsidRPr="00FF31D4" w:rsidRDefault="00005B7F">
            <w:pPr>
              <w:spacing w:after="0" w:line="240" w:lineRule="auto"/>
              <w:jc w:val="center"/>
              <w:rPr>
                <w:rFonts w:ascii="Times New Roman" w:hAnsi="Times New Roman" w:cs="Times New Roman"/>
                <w:sz w:val="14"/>
                <w:szCs w:val="14"/>
                <w:lang w:val="en-GB"/>
              </w:rPr>
            </w:pPr>
            <w:r w:rsidRPr="00FF31D4">
              <w:rPr>
                <w:rFonts w:ascii="Times New Roman" w:hAnsi="Times New Roman" w:cs="Times New Roman"/>
                <w:sz w:val="14"/>
                <w:szCs w:val="14"/>
                <w:lang w:val="en-GB"/>
              </w:rPr>
              <w:t>Fourth year</w:t>
            </w:r>
          </w:p>
        </w:tc>
        <w:tc>
          <w:tcPr>
            <w:tcW w:w="1170" w:type="pct"/>
            <w:tcBorders>
              <w:bottom w:val="single" w:sz="4" w:space="0" w:color="auto"/>
            </w:tcBorders>
            <w:vAlign w:val="center"/>
          </w:tcPr>
          <w:p w14:paraId="60BBD9E0" w14:textId="77777777" w:rsidR="00AC7436" w:rsidRPr="00FF31D4" w:rsidRDefault="00005B7F">
            <w:pPr>
              <w:spacing w:after="0" w:line="240" w:lineRule="auto"/>
              <w:jc w:val="center"/>
              <w:rPr>
                <w:rFonts w:ascii="Times New Roman" w:hAnsi="Times New Roman" w:cs="Times New Roman"/>
                <w:sz w:val="14"/>
                <w:szCs w:val="14"/>
                <w:lang w:val="en-GB"/>
              </w:rPr>
            </w:pPr>
            <w:r w:rsidRPr="00FF31D4">
              <w:rPr>
                <w:rFonts w:ascii="Times New Roman" w:hAnsi="Times New Roman" w:cs="Times New Roman"/>
                <w:sz w:val="14"/>
                <w:szCs w:val="14"/>
                <w:lang w:val="en-GB"/>
              </w:rPr>
              <w:t>78.8%</w:t>
            </w:r>
          </w:p>
        </w:tc>
        <w:tc>
          <w:tcPr>
            <w:tcW w:w="1508" w:type="pct"/>
            <w:tcBorders>
              <w:bottom w:val="single" w:sz="4" w:space="0" w:color="auto"/>
            </w:tcBorders>
            <w:vAlign w:val="center"/>
          </w:tcPr>
          <w:p w14:paraId="21A2501A" w14:textId="77777777" w:rsidR="00AC7436" w:rsidRPr="00FF31D4" w:rsidRDefault="00005B7F">
            <w:pPr>
              <w:spacing w:after="0" w:line="240" w:lineRule="auto"/>
              <w:jc w:val="center"/>
              <w:rPr>
                <w:rFonts w:ascii="Times New Roman" w:hAnsi="Times New Roman" w:cs="Times New Roman"/>
                <w:sz w:val="14"/>
                <w:szCs w:val="14"/>
                <w:lang w:val="en-GB"/>
              </w:rPr>
            </w:pPr>
            <w:r w:rsidRPr="00FF31D4">
              <w:rPr>
                <w:rFonts w:ascii="Times New Roman" w:hAnsi="Times New Roman" w:cs="Times New Roman"/>
                <w:sz w:val="14"/>
                <w:szCs w:val="14"/>
                <w:lang w:val="en-GB"/>
              </w:rPr>
              <w:t>21.2%</w:t>
            </w:r>
          </w:p>
        </w:tc>
        <w:tc>
          <w:tcPr>
            <w:tcW w:w="631" w:type="pct"/>
            <w:vMerge/>
            <w:vAlign w:val="center"/>
          </w:tcPr>
          <w:p w14:paraId="6AE7B43C" w14:textId="77777777" w:rsidR="00AC7436" w:rsidRPr="00FF31D4" w:rsidRDefault="00AC7436">
            <w:pPr>
              <w:spacing w:after="0" w:line="240" w:lineRule="auto"/>
              <w:jc w:val="center"/>
              <w:rPr>
                <w:rFonts w:ascii="Times New Roman" w:hAnsi="Times New Roman" w:cs="Times New Roman"/>
                <w:sz w:val="14"/>
                <w:szCs w:val="14"/>
                <w:lang w:val="en-GB"/>
              </w:rPr>
            </w:pPr>
          </w:p>
        </w:tc>
      </w:tr>
      <w:tr w:rsidR="00FF31D4" w:rsidRPr="00FF31D4" w14:paraId="482F6C79" w14:textId="77777777">
        <w:trPr>
          <w:trHeight w:hRule="exact" w:val="340"/>
          <w:jc w:val="center"/>
        </w:trPr>
        <w:tc>
          <w:tcPr>
            <w:tcW w:w="769" w:type="pct"/>
            <w:vMerge w:val="restart"/>
            <w:vAlign w:val="center"/>
          </w:tcPr>
          <w:p w14:paraId="7D0ADFBB" w14:textId="77777777" w:rsidR="00AC7436" w:rsidRPr="00FF31D4" w:rsidRDefault="00005B7F">
            <w:pPr>
              <w:spacing w:after="0" w:line="240" w:lineRule="auto"/>
              <w:jc w:val="both"/>
              <w:rPr>
                <w:rFonts w:ascii="Times New Roman" w:hAnsi="Times New Roman" w:cs="Times New Roman"/>
                <w:sz w:val="14"/>
                <w:szCs w:val="14"/>
                <w:lang w:val="en-GB"/>
              </w:rPr>
            </w:pPr>
            <w:r w:rsidRPr="00FF31D4">
              <w:rPr>
                <w:rFonts w:ascii="Times New Roman" w:hAnsi="Times New Roman" w:cs="Times New Roman"/>
                <w:sz w:val="14"/>
                <w:szCs w:val="14"/>
                <w:lang w:val="en-GB"/>
              </w:rPr>
              <w:t>Boys</w:t>
            </w:r>
          </w:p>
          <w:p w14:paraId="253616B3" w14:textId="67869DF3" w:rsidR="00AC7436" w:rsidRPr="00FF31D4" w:rsidRDefault="00005B7F">
            <w:pPr>
              <w:spacing w:after="0" w:line="240" w:lineRule="auto"/>
              <w:jc w:val="both"/>
              <w:rPr>
                <w:rFonts w:ascii="Times New Roman" w:hAnsi="Times New Roman" w:cs="Times New Roman"/>
                <w:sz w:val="14"/>
                <w:szCs w:val="14"/>
                <w:lang w:val="en-GB"/>
              </w:rPr>
            </w:pPr>
            <w:r w:rsidRPr="00FF31D4">
              <w:rPr>
                <w:rFonts w:ascii="Times New Roman" w:hAnsi="Times New Roman" w:cs="Times New Roman"/>
                <w:sz w:val="14"/>
                <w:szCs w:val="14"/>
                <w:lang w:val="en-GB"/>
              </w:rPr>
              <w:t>(n = 383)</w:t>
            </w:r>
          </w:p>
        </w:tc>
        <w:tc>
          <w:tcPr>
            <w:tcW w:w="922" w:type="pct"/>
            <w:tcBorders>
              <w:top w:val="single" w:sz="4" w:space="0" w:color="auto"/>
              <w:bottom w:val="nil"/>
            </w:tcBorders>
            <w:vAlign w:val="center"/>
          </w:tcPr>
          <w:p w14:paraId="27119DFB" w14:textId="77777777" w:rsidR="00AC7436" w:rsidRPr="00FF31D4" w:rsidRDefault="00005B7F">
            <w:pPr>
              <w:spacing w:after="0" w:line="240" w:lineRule="auto"/>
              <w:jc w:val="center"/>
              <w:rPr>
                <w:rFonts w:ascii="Times New Roman" w:hAnsi="Times New Roman" w:cs="Times New Roman"/>
                <w:sz w:val="14"/>
                <w:szCs w:val="14"/>
                <w:lang w:val="en-GB"/>
              </w:rPr>
            </w:pPr>
            <w:r w:rsidRPr="00FF31D4">
              <w:rPr>
                <w:rFonts w:ascii="Times New Roman" w:hAnsi="Times New Roman" w:cs="Times New Roman"/>
                <w:sz w:val="14"/>
                <w:szCs w:val="14"/>
                <w:lang w:val="en-GB"/>
              </w:rPr>
              <w:t>First year</w:t>
            </w:r>
          </w:p>
        </w:tc>
        <w:tc>
          <w:tcPr>
            <w:tcW w:w="1170" w:type="pct"/>
            <w:tcBorders>
              <w:top w:val="single" w:sz="4" w:space="0" w:color="auto"/>
              <w:bottom w:val="nil"/>
            </w:tcBorders>
            <w:vAlign w:val="center"/>
          </w:tcPr>
          <w:p w14:paraId="69E66E90" w14:textId="77777777" w:rsidR="00AC7436" w:rsidRPr="00FF31D4" w:rsidRDefault="00005B7F">
            <w:pPr>
              <w:spacing w:after="0" w:line="240" w:lineRule="auto"/>
              <w:jc w:val="center"/>
              <w:rPr>
                <w:rFonts w:ascii="Times New Roman" w:hAnsi="Times New Roman" w:cs="Times New Roman"/>
                <w:sz w:val="14"/>
                <w:szCs w:val="14"/>
                <w:lang w:val="en-GB"/>
              </w:rPr>
            </w:pPr>
            <w:r w:rsidRPr="00FF31D4">
              <w:rPr>
                <w:rFonts w:ascii="Times New Roman" w:hAnsi="Times New Roman" w:cs="Times New Roman"/>
                <w:sz w:val="14"/>
                <w:szCs w:val="14"/>
                <w:lang w:val="en-GB"/>
              </w:rPr>
              <w:t>65.1%</w:t>
            </w:r>
          </w:p>
        </w:tc>
        <w:tc>
          <w:tcPr>
            <w:tcW w:w="1508" w:type="pct"/>
            <w:tcBorders>
              <w:top w:val="single" w:sz="4" w:space="0" w:color="auto"/>
              <w:bottom w:val="nil"/>
            </w:tcBorders>
            <w:vAlign w:val="center"/>
          </w:tcPr>
          <w:p w14:paraId="482C75FC" w14:textId="77777777" w:rsidR="00AC7436" w:rsidRPr="00FF31D4" w:rsidRDefault="00005B7F">
            <w:pPr>
              <w:spacing w:after="0" w:line="240" w:lineRule="auto"/>
              <w:jc w:val="center"/>
              <w:rPr>
                <w:rFonts w:ascii="Times New Roman" w:hAnsi="Times New Roman" w:cs="Times New Roman"/>
                <w:sz w:val="14"/>
                <w:szCs w:val="14"/>
                <w:lang w:val="en-GB"/>
              </w:rPr>
            </w:pPr>
            <w:r w:rsidRPr="00FF31D4">
              <w:rPr>
                <w:rFonts w:ascii="Times New Roman" w:hAnsi="Times New Roman" w:cs="Times New Roman"/>
                <w:sz w:val="14"/>
                <w:szCs w:val="14"/>
                <w:lang w:val="en-GB"/>
              </w:rPr>
              <w:t>34.9%</w:t>
            </w:r>
          </w:p>
        </w:tc>
        <w:tc>
          <w:tcPr>
            <w:tcW w:w="631" w:type="pct"/>
            <w:vMerge w:val="restart"/>
            <w:vAlign w:val="center"/>
          </w:tcPr>
          <w:p w14:paraId="6CB71F0F" w14:textId="77777777" w:rsidR="00AC7436" w:rsidRPr="00FF31D4" w:rsidRDefault="00005B7F">
            <w:pPr>
              <w:spacing w:after="0" w:line="240" w:lineRule="auto"/>
              <w:jc w:val="center"/>
              <w:rPr>
                <w:rFonts w:ascii="Times New Roman" w:hAnsi="Times New Roman" w:cs="Times New Roman"/>
                <w:sz w:val="14"/>
                <w:szCs w:val="14"/>
                <w:lang w:val="en-GB"/>
              </w:rPr>
            </w:pPr>
            <w:r w:rsidRPr="00FF31D4">
              <w:rPr>
                <w:rFonts w:ascii="Times New Roman" w:hAnsi="Times New Roman" w:cs="Times New Roman"/>
                <w:sz w:val="14"/>
                <w:szCs w:val="14"/>
                <w:lang w:val="en-GB"/>
              </w:rPr>
              <w:t>0.005</w:t>
            </w:r>
          </w:p>
        </w:tc>
      </w:tr>
      <w:tr w:rsidR="00FF31D4" w:rsidRPr="00FF31D4" w14:paraId="3FC98FBE" w14:textId="77777777">
        <w:trPr>
          <w:trHeight w:hRule="exact" w:val="340"/>
          <w:jc w:val="center"/>
        </w:trPr>
        <w:tc>
          <w:tcPr>
            <w:tcW w:w="769" w:type="pct"/>
            <w:vMerge/>
            <w:vAlign w:val="center"/>
          </w:tcPr>
          <w:p w14:paraId="5E6138B2" w14:textId="77777777" w:rsidR="00AC7436" w:rsidRPr="00FF31D4" w:rsidRDefault="00AC7436">
            <w:pPr>
              <w:spacing w:after="0" w:line="240" w:lineRule="auto"/>
              <w:jc w:val="both"/>
              <w:rPr>
                <w:rFonts w:ascii="Times New Roman" w:hAnsi="Times New Roman" w:cs="Times New Roman"/>
                <w:sz w:val="14"/>
                <w:szCs w:val="14"/>
                <w:lang w:val="en-GB"/>
              </w:rPr>
            </w:pPr>
          </w:p>
        </w:tc>
        <w:tc>
          <w:tcPr>
            <w:tcW w:w="922" w:type="pct"/>
            <w:tcBorders>
              <w:top w:val="nil"/>
              <w:bottom w:val="single" w:sz="4" w:space="0" w:color="auto"/>
            </w:tcBorders>
            <w:vAlign w:val="center"/>
          </w:tcPr>
          <w:p w14:paraId="52C8DD3A" w14:textId="77777777" w:rsidR="00AC7436" w:rsidRPr="00FF31D4" w:rsidRDefault="00005B7F">
            <w:pPr>
              <w:spacing w:after="0" w:line="240" w:lineRule="auto"/>
              <w:jc w:val="center"/>
              <w:rPr>
                <w:rFonts w:ascii="Times New Roman" w:hAnsi="Times New Roman" w:cs="Times New Roman"/>
                <w:sz w:val="14"/>
                <w:szCs w:val="14"/>
                <w:lang w:val="en-GB"/>
              </w:rPr>
            </w:pPr>
            <w:r w:rsidRPr="00FF31D4">
              <w:rPr>
                <w:rFonts w:ascii="Times New Roman" w:hAnsi="Times New Roman" w:cs="Times New Roman"/>
                <w:sz w:val="14"/>
                <w:szCs w:val="14"/>
                <w:lang w:val="en-GB"/>
              </w:rPr>
              <w:t>Fourth year</w:t>
            </w:r>
          </w:p>
        </w:tc>
        <w:tc>
          <w:tcPr>
            <w:tcW w:w="1170" w:type="pct"/>
            <w:tcBorders>
              <w:top w:val="nil"/>
              <w:bottom w:val="single" w:sz="4" w:space="0" w:color="auto"/>
            </w:tcBorders>
            <w:vAlign w:val="center"/>
          </w:tcPr>
          <w:p w14:paraId="7EDBEEBB" w14:textId="77777777" w:rsidR="00AC7436" w:rsidRPr="00FF31D4" w:rsidRDefault="00005B7F">
            <w:pPr>
              <w:spacing w:after="0" w:line="240" w:lineRule="auto"/>
              <w:jc w:val="center"/>
              <w:rPr>
                <w:rFonts w:ascii="Times New Roman" w:hAnsi="Times New Roman" w:cs="Times New Roman"/>
                <w:sz w:val="14"/>
                <w:szCs w:val="14"/>
                <w:lang w:val="en-GB"/>
              </w:rPr>
            </w:pPr>
            <w:r w:rsidRPr="00FF31D4">
              <w:rPr>
                <w:rFonts w:ascii="Times New Roman" w:hAnsi="Times New Roman" w:cs="Times New Roman"/>
                <w:sz w:val="14"/>
                <w:szCs w:val="14"/>
                <w:lang w:val="en-GB"/>
              </w:rPr>
              <w:t>78.0%</w:t>
            </w:r>
          </w:p>
        </w:tc>
        <w:tc>
          <w:tcPr>
            <w:tcW w:w="1508" w:type="pct"/>
            <w:tcBorders>
              <w:top w:val="nil"/>
              <w:bottom w:val="single" w:sz="4" w:space="0" w:color="auto"/>
            </w:tcBorders>
            <w:vAlign w:val="center"/>
          </w:tcPr>
          <w:p w14:paraId="56627504" w14:textId="77777777" w:rsidR="00AC7436" w:rsidRPr="00FF31D4" w:rsidRDefault="00005B7F">
            <w:pPr>
              <w:spacing w:after="0" w:line="240" w:lineRule="auto"/>
              <w:jc w:val="center"/>
              <w:rPr>
                <w:rFonts w:ascii="Times New Roman" w:hAnsi="Times New Roman" w:cs="Times New Roman"/>
                <w:sz w:val="14"/>
                <w:szCs w:val="14"/>
                <w:lang w:val="en-GB"/>
              </w:rPr>
            </w:pPr>
            <w:r w:rsidRPr="00FF31D4">
              <w:rPr>
                <w:rFonts w:ascii="Times New Roman" w:hAnsi="Times New Roman" w:cs="Times New Roman"/>
                <w:sz w:val="14"/>
                <w:szCs w:val="14"/>
                <w:lang w:val="en-GB"/>
              </w:rPr>
              <w:t>22.0%</w:t>
            </w:r>
          </w:p>
        </w:tc>
        <w:tc>
          <w:tcPr>
            <w:tcW w:w="631" w:type="pct"/>
            <w:vMerge/>
            <w:vAlign w:val="center"/>
          </w:tcPr>
          <w:p w14:paraId="1A3008AD" w14:textId="77777777" w:rsidR="00AC7436" w:rsidRPr="00FF31D4" w:rsidRDefault="00AC7436">
            <w:pPr>
              <w:spacing w:after="0" w:line="240" w:lineRule="auto"/>
              <w:jc w:val="center"/>
              <w:rPr>
                <w:rFonts w:ascii="Times New Roman" w:hAnsi="Times New Roman" w:cs="Times New Roman"/>
                <w:sz w:val="14"/>
                <w:szCs w:val="14"/>
                <w:lang w:val="en-GB"/>
              </w:rPr>
            </w:pPr>
          </w:p>
        </w:tc>
      </w:tr>
      <w:tr w:rsidR="00FF31D4" w:rsidRPr="00FF31D4" w14:paraId="4219D89A" w14:textId="77777777">
        <w:trPr>
          <w:trHeight w:hRule="exact" w:val="340"/>
          <w:jc w:val="center"/>
        </w:trPr>
        <w:tc>
          <w:tcPr>
            <w:tcW w:w="769" w:type="pct"/>
            <w:vMerge w:val="restart"/>
            <w:vAlign w:val="center"/>
          </w:tcPr>
          <w:p w14:paraId="329C3D06" w14:textId="77777777" w:rsidR="00AC7436" w:rsidRPr="00FF31D4" w:rsidRDefault="00005B7F">
            <w:pPr>
              <w:spacing w:after="0" w:line="240" w:lineRule="auto"/>
              <w:jc w:val="both"/>
              <w:rPr>
                <w:rFonts w:ascii="Times New Roman" w:hAnsi="Times New Roman" w:cs="Times New Roman"/>
                <w:sz w:val="14"/>
                <w:szCs w:val="14"/>
                <w:lang w:val="en-GB"/>
              </w:rPr>
            </w:pPr>
            <w:r w:rsidRPr="00FF31D4">
              <w:rPr>
                <w:rFonts w:ascii="Times New Roman" w:hAnsi="Times New Roman" w:cs="Times New Roman"/>
                <w:sz w:val="14"/>
                <w:szCs w:val="14"/>
                <w:lang w:val="en-GB"/>
              </w:rPr>
              <w:t>Girls</w:t>
            </w:r>
          </w:p>
          <w:p w14:paraId="2EDDD038" w14:textId="77777777" w:rsidR="00AC7436" w:rsidRPr="00FF31D4" w:rsidRDefault="00005B7F">
            <w:pPr>
              <w:spacing w:after="0" w:line="240" w:lineRule="auto"/>
              <w:jc w:val="both"/>
              <w:rPr>
                <w:rFonts w:ascii="Times New Roman" w:hAnsi="Times New Roman" w:cs="Times New Roman"/>
                <w:sz w:val="14"/>
                <w:szCs w:val="14"/>
                <w:lang w:val="en-GB"/>
              </w:rPr>
            </w:pPr>
            <w:r w:rsidRPr="00FF31D4">
              <w:rPr>
                <w:rFonts w:ascii="Times New Roman" w:hAnsi="Times New Roman" w:cs="Times New Roman"/>
                <w:sz w:val="14"/>
                <w:szCs w:val="14"/>
                <w:lang w:val="en-GB"/>
              </w:rPr>
              <w:t>(n = 378)</w:t>
            </w:r>
          </w:p>
        </w:tc>
        <w:tc>
          <w:tcPr>
            <w:tcW w:w="922" w:type="pct"/>
            <w:tcBorders>
              <w:top w:val="single" w:sz="4" w:space="0" w:color="auto"/>
            </w:tcBorders>
            <w:vAlign w:val="center"/>
          </w:tcPr>
          <w:p w14:paraId="0E89C14C" w14:textId="77777777" w:rsidR="00AC7436" w:rsidRPr="00FF31D4" w:rsidRDefault="00005B7F">
            <w:pPr>
              <w:spacing w:after="0" w:line="240" w:lineRule="auto"/>
              <w:jc w:val="center"/>
              <w:rPr>
                <w:rFonts w:ascii="Times New Roman" w:hAnsi="Times New Roman" w:cs="Times New Roman"/>
                <w:sz w:val="14"/>
                <w:szCs w:val="14"/>
                <w:lang w:val="en-GB"/>
              </w:rPr>
            </w:pPr>
            <w:r w:rsidRPr="00FF31D4">
              <w:rPr>
                <w:rFonts w:ascii="Times New Roman" w:hAnsi="Times New Roman" w:cs="Times New Roman"/>
                <w:sz w:val="14"/>
                <w:szCs w:val="14"/>
                <w:lang w:val="en-GB"/>
              </w:rPr>
              <w:t>First year</w:t>
            </w:r>
          </w:p>
        </w:tc>
        <w:tc>
          <w:tcPr>
            <w:tcW w:w="1170" w:type="pct"/>
            <w:tcBorders>
              <w:top w:val="single" w:sz="4" w:space="0" w:color="auto"/>
            </w:tcBorders>
            <w:vAlign w:val="center"/>
          </w:tcPr>
          <w:p w14:paraId="55C948FD" w14:textId="77777777" w:rsidR="00AC7436" w:rsidRPr="00FF31D4" w:rsidRDefault="00005B7F">
            <w:pPr>
              <w:spacing w:after="0" w:line="240" w:lineRule="auto"/>
              <w:jc w:val="center"/>
              <w:rPr>
                <w:rFonts w:ascii="Times New Roman" w:hAnsi="Times New Roman" w:cs="Times New Roman"/>
                <w:sz w:val="14"/>
                <w:szCs w:val="14"/>
                <w:lang w:val="en-GB"/>
              </w:rPr>
            </w:pPr>
            <w:r w:rsidRPr="00FF31D4">
              <w:rPr>
                <w:rFonts w:ascii="Times New Roman" w:hAnsi="Times New Roman" w:cs="Times New Roman"/>
                <w:sz w:val="14"/>
                <w:szCs w:val="14"/>
                <w:lang w:val="en-GB"/>
              </w:rPr>
              <w:t>72.3%</w:t>
            </w:r>
          </w:p>
        </w:tc>
        <w:tc>
          <w:tcPr>
            <w:tcW w:w="1508" w:type="pct"/>
            <w:tcBorders>
              <w:top w:val="single" w:sz="4" w:space="0" w:color="auto"/>
            </w:tcBorders>
            <w:vAlign w:val="center"/>
          </w:tcPr>
          <w:p w14:paraId="2601FD96" w14:textId="77777777" w:rsidR="00AC7436" w:rsidRPr="00FF31D4" w:rsidRDefault="00005B7F">
            <w:pPr>
              <w:spacing w:after="0" w:line="240" w:lineRule="auto"/>
              <w:jc w:val="center"/>
              <w:rPr>
                <w:rFonts w:ascii="Times New Roman" w:hAnsi="Times New Roman" w:cs="Times New Roman"/>
                <w:sz w:val="14"/>
                <w:szCs w:val="14"/>
                <w:lang w:val="en-GB"/>
              </w:rPr>
            </w:pPr>
            <w:r w:rsidRPr="00FF31D4">
              <w:rPr>
                <w:rFonts w:ascii="Times New Roman" w:hAnsi="Times New Roman" w:cs="Times New Roman"/>
                <w:sz w:val="14"/>
                <w:szCs w:val="14"/>
                <w:lang w:val="en-GB"/>
              </w:rPr>
              <w:t>27.7%</w:t>
            </w:r>
          </w:p>
        </w:tc>
        <w:tc>
          <w:tcPr>
            <w:tcW w:w="631" w:type="pct"/>
            <w:vMerge w:val="restart"/>
            <w:vAlign w:val="center"/>
          </w:tcPr>
          <w:p w14:paraId="356A17A5" w14:textId="77777777" w:rsidR="00AC7436" w:rsidRPr="00FF31D4" w:rsidRDefault="00005B7F">
            <w:pPr>
              <w:spacing w:after="0" w:line="240" w:lineRule="auto"/>
              <w:jc w:val="center"/>
              <w:rPr>
                <w:rFonts w:ascii="Times New Roman" w:hAnsi="Times New Roman" w:cs="Times New Roman"/>
                <w:sz w:val="14"/>
                <w:szCs w:val="14"/>
                <w:lang w:val="en-GB"/>
              </w:rPr>
            </w:pPr>
            <w:r w:rsidRPr="00FF31D4">
              <w:rPr>
                <w:rFonts w:ascii="Times New Roman" w:hAnsi="Times New Roman" w:cs="Times New Roman"/>
                <w:sz w:val="14"/>
                <w:szCs w:val="14"/>
                <w:lang w:val="en-GB"/>
              </w:rPr>
              <w:t>0.091</w:t>
            </w:r>
          </w:p>
        </w:tc>
      </w:tr>
      <w:tr w:rsidR="00FF31D4" w:rsidRPr="00FF31D4" w14:paraId="41DA6627" w14:textId="77777777">
        <w:trPr>
          <w:trHeight w:hRule="exact" w:val="340"/>
          <w:jc w:val="center"/>
        </w:trPr>
        <w:tc>
          <w:tcPr>
            <w:tcW w:w="769" w:type="pct"/>
            <w:vMerge/>
            <w:vAlign w:val="center"/>
          </w:tcPr>
          <w:p w14:paraId="7497669B" w14:textId="77777777" w:rsidR="00AC7436" w:rsidRPr="00FF31D4" w:rsidRDefault="00AC7436">
            <w:pPr>
              <w:spacing w:after="0" w:line="240" w:lineRule="auto"/>
              <w:jc w:val="both"/>
              <w:rPr>
                <w:rFonts w:ascii="Times New Roman" w:hAnsi="Times New Roman" w:cs="Times New Roman"/>
                <w:sz w:val="14"/>
                <w:szCs w:val="14"/>
                <w:lang w:val="en-GB"/>
              </w:rPr>
            </w:pPr>
          </w:p>
        </w:tc>
        <w:tc>
          <w:tcPr>
            <w:tcW w:w="922" w:type="pct"/>
            <w:vAlign w:val="center"/>
          </w:tcPr>
          <w:p w14:paraId="6F484044" w14:textId="77777777" w:rsidR="00AC7436" w:rsidRPr="00FF31D4" w:rsidRDefault="00005B7F">
            <w:pPr>
              <w:spacing w:after="0" w:line="240" w:lineRule="auto"/>
              <w:jc w:val="center"/>
              <w:rPr>
                <w:rFonts w:ascii="Times New Roman" w:hAnsi="Times New Roman" w:cs="Times New Roman"/>
                <w:sz w:val="14"/>
                <w:szCs w:val="14"/>
                <w:lang w:val="en-GB"/>
              </w:rPr>
            </w:pPr>
            <w:r w:rsidRPr="00FF31D4">
              <w:rPr>
                <w:rFonts w:ascii="Times New Roman" w:hAnsi="Times New Roman" w:cs="Times New Roman"/>
                <w:sz w:val="14"/>
                <w:szCs w:val="14"/>
                <w:lang w:val="en-GB"/>
              </w:rPr>
              <w:t>Fourth year</w:t>
            </w:r>
          </w:p>
        </w:tc>
        <w:tc>
          <w:tcPr>
            <w:tcW w:w="1170" w:type="pct"/>
            <w:vAlign w:val="center"/>
          </w:tcPr>
          <w:p w14:paraId="41D66990" w14:textId="77777777" w:rsidR="00AC7436" w:rsidRPr="00FF31D4" w:rsidRDefault="00005B7F">
            <w:pPr>
              <w:spacing w:after="0" w:line="240" w:lineRule="auto"/>
              <w:jc w:val="center"/>
              <w:rPr>
                <w:rFonts w:ascii="Times New Roman" w:hAnsi="Times New Roman" w:cs="Times New Roman"/>
                <w:sz w:val="14"/>
                <w:szCs w:val="14"/>
                <w:lang w:val="en-GB"/>
              </w:rPr>
            </w:pPr>
            <w:r w:rsidRPr="00FF31D4">
              <w:rPr>
                <w:rFonts w:ascii="Times New Roman" w:hAnsi="Times New Roman" w:cs="Times New Roman"/>
                <w:sz w:val="14"/>
                <w:szCs w:val="14"/>
                <w:lang w:val="en-GB"/>
              </w:rPr>
              <w:t>79.7%</w:t>
            </w:r>
          </w:p>
        </w:tc>
        <w:tc>
          <w:tcPr>
            <w:tcW w:w="1508" w:type="pct"/>
            <w:vAlign w:val="center"/>
          </w:tcPr>
          <w:p w14:paraId="599C92B3" w14:textId="77777777" w:rsidR="00AC7436" w:rsidRPr="00FF31D4" w:rsidRDefault="00005B7F">
            <w:pPr>
              <w:spacing w:after="0" w:line="240" w:lineRule="auto"/>
              <w:jc w:val="center"/>
              <w:rPr>
                <w:rFonts w:ascii="Times New Roman" w:hAnsi="Times New Roman" w:cs="Times New Roman"/>
                <w:sz w:val="14"/>
                <w:szCs w:val="14"/>
                <w:lang w:val="en-GB"/>
              </w:rPr>
            </w:pPr>
            <w:r w:rsidRPr="00FF31D4">
              <w:rPr>
                <w:rFonts w:ascii="Times New Roman" w:hAnsi="Times New Roman" w:cs="Times New Roman"/>
                <w:sz w:val="14"/>
                <w:szCs w:val="14"/>
                <w:lang w:val="en-GB"/>
              </w:rPr>
              <w:t>20.3%</w:t>
            </w:r>
          </w:p>
        </w:tc>
        <w:tc>
          <w:tcPr>
            <w:tcW w:w="631" w:type="pct"/>
            <w:vMerge/>
            <w:vAlign w:val="center"/>
          </w:tcPr>
          <w:p w14:paraId="66B4D19D" w14:textId="77777777" w:rsidR="00AC7436" w:rsidRPr="00FF31D4" w:rsidRDefault="00AC7436">
            <w:pPr>
              <w:spacing w:after="0" w:line="240" w:lineRule="auto"/>
              <w:jc w:val="center"/>
              <w:rPr>
                <w:rFonts w:ascii="Times New Roman" w:hAnsi="Times New Roman" w:cs="Times New Roman"/>
                <w:sz w:val="14"/>
                <w:szCs w:val="14"/>
                <w:lang w:val="en-GB"/>
              </w:rPr>
            </w:pPr>
          </w:p>
        </w:tc>
      </w:tr>
    </w:tbl>
    <w:p w14:paraId="728DB224" w14:textId="77777777" w:rsidR="00AC7436" w:rsidRPr="00FF31D4" w:rsidRDefault="00005B7F">
      <w:pPr>
        <w:spacing w:before="240" w:line="480" w:lineRule="auto"/>
        <w:ind w:firstLine="709"/>
        <w:jc w:val="both"/>
        <w:rPr>
          <w:rFonts w:ascii="Times New Roman" w:hAnsi="Times New Roman" w:cs="Times New Roman"/>
          <w:sz w:val="20"/>
          <w:szCs w:val="20"/>
          <w:lang w:val="en-GB"/>
        </w:rPr>
      </w:pPr>
      <w:r w:rsidRPr="00FF31D4">
        <w:rPr>
          <w:rFonts w:ascii="Times New Roman" w:hAnsi="Times New Roman" w:cs="Times New Roman"/>
          <w:sz w:val="20"/>
          <w:szCs w:val="20"/>
          <w:lang w:val="en-GB"/>
        </w:rPr>
        <w:t>Table 2 shows pupils’ PA levels, cardio-respiratory capacity and hours of nightly sleep. With regards to these findings, first-year students presented significantly higher values than fourth-year students. This was the case both at a global level and in reference to different times of the day, with the only exception occurring between 18:00 and 22:00, during which no differences were found. Nonetheless, in the case of boys, outcomes became non-significant in relation to Physical Education classes and weekly activity frequency. In contrast, in the case of girls, outcomes became non-significant during lunch hours but were retained during the afternoon (from 18:00 to 22:00).</w:t>
      </w:r>
    </w:p>
    <w:p w14:paraId="40F81653" w14:textId="769192ED" w:rsidR="00AC7436" w:rsidRPr="00FF31D4" w:rsidRDefault="00005B7F">
      <w:pPr>
        <w:spacing w:line="480" w:lineRule="auto"/>
        <w:ind w:firstLine="709"/>
        <w:jc w:val="both"/>
        <w:rPr>
          <w:rFonts w:ascii="Times New Roman" w:hAnsi="Times New Roman" w:cs="Times New Roman"/>
          <w:sz w:val="20"/>
          <w:szCs w:val="20"/>
          <w:lang w:val="en-GB"/>
        </w:rPr>
      </w:pPr>
      <w:r w:rsidRPr="00FF31D4">
        <w:rPr>
          <w:rFonts w:ascii="Times New Roman" w:hAnsi="Times New Roman" w:cs="Times New Roman"/>
          <w:sz w:val="20"/>
          <w:szCs w:val="20"/>
          <w:lang w:val="en-GB"/>
        </w:rPr>
        <w:t>Furthermore, significant differences (p</w:t>
      </w:r>
      <w:r w:rsidR="0013022B" w:rsidRPr="00FF31D4">
        <w:rPr>
          <w:rFonts w:ascii="Times New Roman" w:hAnsi="Times New Roman" w:cs="Times New Roman"/>
          <w:sz w:val="20"/>
          <w:szCs w:val="20"/>
          <w:lang w:val="en-GB"/>
        </w:rPr>
        <w:t xml:space="preserve"> </w:t>
      </w:r>
      <w:r w:rsidRPr="00FF31D4">
        <w:rPr>
          <w:rFonts w:ascii="Times New Roman" w:hAnsi="Times New Roman" w:cs="Times New Roman"/>
          <w:sz w:val="20"/>
          <w:szCs w:val="20"/>
          <w:lang w:val="en-GB"/>
        </w:rPr>
        <w:t>=</w:t>
      </w:r>
      <w:r w:rsidR="0013022B" w:rsidRPr="00FF31D4">
        <w:rPr>
          <w:rFonts w:ascii="Times New Roman" w:hAnsi="Times New Roman" w:cs="Times New Roman"/>
          <w:sz w:val="20"/>
          <w:szCs w:val="20"/>
          <w:lang w:val="en-GB"/>
        </w:rPr>
        <w:t xml:space="preserve"> </w:t>
      </w:r>
      <w:r w:rsidRPr="00FF31D4">
        <w:rPr>
          <w:rFonts w:ascii="Times New Roman" w:hAnsi="Times New Roman" w:cs="Times New Roman"/>
          <w:sz w:val="20"/>
          <w:szCs w:val="20"/>
          <w:lang w:val="en-GB"/>
        </w:rPr>
        <w:t>0.013) were found in relation to engagement in extra-curricular sporting activities. First year students reached a percentage of 74.2% compared to 65.9% of fourth year students. In addition, in the case of girls, 67.5% and 53.5% engaged in extra-curricular sporting activities (p</w:t>
      </w:r>
      <w:r w:rsidR="0013022B" w:rsidRPr="00FF31D4">
        <w:rPr>
          <w:rFonts w:ascii="Times New Roman" w:hAnsi="Times New Roman" w:cs="Times New Roman"/>
          <w:sz w:val="20"/>
          <w:szCs w:val="20"/>
          <w:lang w:val="en-GB"/>
        </w:rPr>
        <w:t xml:space="preserve"> </w:t>
      </w:r>
      <w:r w:rsidRPr="00FF31D4">
        <w:rPr>
          <w:rFonts w:ascii="Times New Roman" w:hAnsi="Times New Roman" w:cs="Times New Roman"/>
          <w:sz w:val="20"/>
          <w:szCs w:val="20"/>
          <w:lang w:val="en-GB"/>
        </w:rPr>
        <w:t>=</w:t>
      </w:r>
      <w:r w:rsidR="0013022B" w:rsidRPr="00FF31D4">
        <w:rPr>
          <w:rFonts w:ascii="Times New Roman" w:hAnsi="Times New Roman" w:cs="Times New Roman"/>
          <w:sz w:val="20"/>
          <w:szCs w:val="20"/>
          <w:lang w:val="en-GB"/>
        </w:rPr>
        <w:t xml:space="preserve"> </w:t>
      </w:r>
      <w:r w:rsidRPr="00FF31D4">
        <w:rPr>
          <w:rFonts w:ascii="Times New Roman" w:hAnsi="Times New Roman" w:cs="Times New Roman"/>
          <w:sz w:val="20"/>
          <w:szCs w:val="20"/>
          <w:lang w:val="en-GB"/>
        </w:rPr>
        <w:t>0.005). In contrast, no significant differences were found with regards to the use of active transport to get to school, with the percentages pertaining to use of active transport being 64.2% and 68.5% for first- and fourth-year pupils, respectively.</w:t>
      </w:r>
    </w:p>
    <w:p w14:paraId="087D42C0" w14:textId="2EF5AB41" w:rsidR="00AC7436" w:rsidRPr="00FF31D4" w:rsidRDefault="00005B7F">
      <w:pPr>
        <w:spacing w:line="480" w:lineRule="auto"/>
        <w:ind w:firstLine="709"/>
        <w:jc w:val="both"/>
        <w:rPr>
          <w:rFonts w:ascii="Times New Roman" w:hAnsi="Times New Roman" w:cs="Times New Roman"/>
          <w:sz w:val="20"/>
          <w:szCs w:val="20"/>
          <w:lang w:val="en-GB"/>
        </w:rPr>
      </w:pPr>
      <w:r w:rsidRPr="00FF31D4">
        <w:rPr>
          <w:rFonts w:ascii="Times New Roman" w:hAnsi="Times New Roman" w:cs="Times New Roman"/>
          <w:sz w:val="20"/>
          <w:szCs w:val="20"/>
          <w:lang w:val="en-GB"/>
        </w:rPr>
        <w:t>In reference to VO</w:t>
      </w:r>
      <w:r w:rsidRPr="00FF31D4">
        <w:rPr>
          <w:rFonts w:ascii="Times New Roman" w:hAnsi="Times New Roman" w:cs="Times New Roman"/>
          <w:sz w:val="20"/>
          <w:szCs w:val="20"/>
          <w:vertAlign w:val="subscript"/>
          <w:lang w:val="en-GB"/>
        </w:rPr>
        <w:t>2</w:t>
      </w:r>
      <w:r w:rsidRPr="00FF31D4">
        <w:rPr>
          <w:rFonts w:ascii="Times New Roman" w:hAnsi="Times New Roman" w:cs="Times New Roman"/>
          <w:sz w:val="20"/>
          <w:szCs w:val="20"/>
          <w:lang w:val="en-GB"/>
        </w:rPr>
        <w:t>max, significantly lower values were recorded for older females relative to younger females (p</w:t>
      </w:r>
      <w:r w:rsidR="0013022B" w:rsidRPr="00FF31D4">
        <w:rPr>
          <w:rFonts w:ascii="Times New Roman" w:hAnsi="Times New Roman" w:cs="Times New Roman"/>
          <w:sz w:val="20"/>
          <w:szCs w:val="20"/>
          <w:lang w:val="en-GB"/>
        </w:rPr>
        <w:t xml:space="preserve"> </w:t>
      </w:r>
      <w:r w:rsidRPr="00FF31D4">
        <w:rPr>
          <w:rFonts w:ascii="Times New Roman" w:hAnsi="Times New Roman" w:cs="Times New Roman"/>
          <w:sz w:val="20"/>
          <w:szCs w:val="20"/>
          <w:lang w:val="en-GB"/>
        </w:rPr>
        <w:t>&lt;</w:t>
      </w:r>
      <w:r w:rsidR="0013022B" w:rsidRPr="00FF31D4">
        <w:rPr>
          <w:rFonts w:ascii="Times New Roman" w:hAnsi="Times New Roman" w:cs="Times New Roman"/>
          <w:sz w:val="20"/>
          <w:szCs w:val="20"/>
          <w:lang w:val="en-GB"/>
        </w:rPr>
        <w:t xml:space="preserve"> </w:t>
      </w:r>
      <w:r w:rsidRPr="00FF31D4">
        <w:rPr>
          <w:rFonts w:ascii="Times New Roman" w:hAnsi="Times New Roman" w:cs="Times New Roman"/>
          <w:sz w:val="20"/>
          <w:szCs w:val="20"/>
          <w:lang w:val="en-GB"/>
        </w:rPr>
        <w:t>0.001). In the same way, hours of nocturnal sleep were also significantly lower amongst fourth year students in the case of both sexes.</w:t>
      </w:r>
    </w:p>
    <w:p w14:paraId="487675FF" w14:textId="77777777" w:rsidR="00AC7436" w:rsidRPr="00FF31D4" w:rsidRDefault="00005B7F">
      <w:pPr>
        <w:spacing w:line="360" w:lineRule="auto"/>
        <w:jc w:val="both"/>
        <w:rPr>
          <w:rFonts w:ascii="Times New Roman" w:hAnsi="Times New Roman" w:cs="Times New Roman"/>
          <w:sz w:val="20"/>
          <w:szCs w:val="20"/>
          <w:lang w:val="en-GB"/>
        </w:rPr>
      </w:pPr>
      <w:r w:rsidRPr="00FF31D4">
        <w:rPr>
          <w:rFonts w:ascii="Times New Roman" w:hAnsi="Times New Roman" w:cs="Times New Roman"/>
          <w:b/>
          <w:sz w:val="20"/>
          <w:szCs w:val="20"/>
          <w:lang w:val="en-GB"/>
        </w:rPr>
        <w:t>Table 2.</w:t>
      </w:r>
      <w:r w:rsidRPr="00FF31D4">
        <w:rPr>
          <w:rFonts w:ascii="Times New Roman" w:hAnsi="Times New Roman" w:cs="Times New Roman"/>
          <w:bCs/>
          <w:sz w:val="20"/>
          <w:szCs w:val="20"/>
          <w:lang w:val="en-GB"/>
        </w:rPr>
        <w:t xml:space="preserve"> </w:t>
      </w:r>
      <w:r w:rsidRPr="00FF31D4">
        <w:rPr>
          <w:rFonts w:ascii="Times New Roman" w:hAnsi="Times New Roman" w:cs="Times New Roman"/>
          <w:sz w:val="20"/>
          <w:szCs w:val="20"/>
          <w:lang w:val="en-GB"/>
        </w:rPr>
        <w:t xml:space="preserve">PA level, </w:t>
      </w:r>
      <w:r w:rsidRPr="00FF31D4">
        <w:rPr>
          <w:rFonts w:ascii="Times New Roman" w:eastAsia="Times New Roman" w:hAnsi="Times New Roman" w:cs="Times New Roman"/>
          <w:sz w:val="20"/>
          <w:szCs w:val="20"/>
          <w:lang w:val="en-GB" w:eastAsia="es-ES"/>
        </w:rPr>
        <w:t>VO</w:t>
      </w:r>
      <w:r w:rsidRPr="00FF31D4">
        <w:rPr>
          <w:rFonts w:ascii="Times New Roman" w:eastAsia="Times New Roman" w:hAnsi="Times New Roman" w:cs="Times New Roman"/>
          <w:sz w:val="20"/>
          <w:szCs w:val="20"/>
          <w:vertAlign w:val="subscript"/>
          <w:lang w:val="en-GB" w:eastAsia="es-ES"/>
        </w:rPr>
        <w:t>2</w:t>
      </w:r>
      <w:r w:rsidRPr="00FF31D4">
        <w:rPr>
          <w:rFonts w:ascii="Times New Roman" w:eastAsia="Times New Roman" w:hAnsi="Times New Roman" w:cs="Times New Roman"/>
          <w:sz w:val="20"/>
          <w:szCs w:val="20"/>
          <w:lang w:val="en-GB" w:eastAsia="es-ES"/>
        </w:rPr>
        <w:t xml:space="preserve">max and hours of night sleep according </w:t>
      </w:r>
      <w:r w:rsidRPr="00FF31D4">
        <w:rPr>
          <w:rFonts w:ascii="Times New Roman" w:hAnsi="Times New Roman" w:cs="Times New Roman"/>
          <w:sz w:val="20"/>
          <w:szCs w:val="20"/>
          <w:lang w:val="en-GB"/>
        </w:rPr>
        <w:t>to sex and grade.</w:t>
      </w:r>
    </w:p>
    <w:tbl>
      <w:tblPr>
        <w:tblW w:w="5000" w:type="pct"/>
        <w:tblBorders>
          <w:top w:val="single" w:sz="4" w:space="0" w:color="auto"/>
          <w:bottom w:val="single" w:sz="4" w:space="0" w:color="auto"/>
        </w:tblBorders>
        <w:tblCellMar>
          <w:left w:w="28" w:type="dxa"/>
          <w:right w:w="28" w:type="dxa"/>
        </w:tblCellMar>
        <w:tblLook w:val="04A0" w:firstRow="1" w:lastRow="0" w:firstColumn="1" w:lastColumn="0" w:noHBand="0" w:noVBand="1"/>
      </w:tblPr>
      <w:tblGrid>
        <w:gridCol w:w="2778"/>
        <w:gridCol w:w="710"/>
        <w:gridCol w:w="724"/>
        <w:gridCol w:w="476"/>
        <w:gridCol w:w="709"/>
        <w:gridCol w:w="723"/>
        <w:gridCol w:w="476"/>
        <w:gridCol w:w="709"/>
        <w:gridCol w:w="723"/>
        <w:gridCol w:w="476"/>
      </w:tblGrid>
      <w:tr w:rsidR="00FF31D4" w:rsidRPr="00FF31D4" w14:paraId="0C5F222A" w14:textId="77777777">
        <w:trPr>
          <w:trHeight w:val="609"/>
        </w:trPr>
        <w:tc>
          <w:tcPr>
            <w:tcW w:w="1633" w:type="pct"/>
            <w:tcBorders>
              <w:bottom w:val="nil"/>
            </w:tcBorders>
            <w:noWrap/>
            <w:vAlign w:val="center"/>
          </w:tcPr>
          <w:p w14:paraId="0399A4F6" w14:textId="77777777" w:rsidR="00AC7436" w:rsidRPr="00FF31D4" w:rsidRDefault="00005B7F">
            <w:pPr>
              <w:spacing w:after="0" w:line="240" w:lineRule="auto"/>
              <w:jc w:val="both"/>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 </w:t>
            </w:r>
          </w:p>
        </w:tc>
        <w:tc>
          <w:tcPr>
            <w:tcW w:w="1122" w:type="pct"/>
            <w:gridSpan w:val="3"/>
            <w:tcBorders>
              <w:top w:val="single" w:sz="4" w:space="0" w:color="auto"/>
              <w:bottom w:val="single" w:sz="4" w:space="0" w:color="auto"/>
            </w:tcBorders>
            <w:noWrap/>
            <w:vAlign w:val="center"/>
          </w:tcPr>
          <w:p w14:paraId="385A255E"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hAnsi="Times New Roman" w:cs="Times New Roman"/>
                <w:sz w:val="14"/>
                <w:szCs w:val="14"/>
                <w:lang w:val="en-GB"/>
              </w:rPr>
              <w:t>All</w:t>
            </w:r>
          </w:p>
          <w:p w14:paraId="7558633B" w14:textId="77777777" w:rsidR="00AC7436" w:rsidRPr="00FF31D4" w:rsidRDefault="00005B7F">
            <w:pPr>
              <w:spacing w:after="0" w:line="240" w:lineRule="auto"/>
              <w:jc w:val="center"/>
              <w:rPr>
                <w:rFonts w:ascii="Times New Roman" w:hAnsi="Times New Roman" w:cs="Times New Roman"/>
                <w:sz w:val="14"/>
                <w:szCs w:val="14"/>
                <w:lang w:val="en-GB"/>
              </w:rPr>
            </w:pPr>
            <w:r w:rsidRPr="00FF31D4">
              <w:rPr>
                <w:rFonts w:ascii="Times New Roman" w:eastAsia="Times New Roman" w:hAnsi="Times New Roman" w:cs="Times New Roman"/>
                <w:sz w:val="14"/>
                <w:szCs w:val="14"/>
                <w:lang w:val="en-GB" w:eastAsia="es-ES"/>
              </w:rPr>
              <w:t>(n = 761)</w:t>
            </w:r>
          </w:p>
        </w:tc>
        <w:tc>
          <w:tcPr>
            <w:tcW w:w="1122" w:type="pct"/>
            <w:gridSpan w:val="3"/>
            <w:tcBorders>
              <w:top w:val="single" w:sz="4" w:space="0" w:color="auto"/>
              <w:bottom w:val="single" w:sz="4" w:space="0" w:color="auto"/>
            </w:tcBorders>
            <w:noWrap/>
            <w:vAlign w:val="center"/>
          </w:tcPr>
          <w:p w14:paraId="5AE3D7B3"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hAnsi="Times New Roman" w:cs="Times New Roman"/>
                <w:sz w:val="14"/>
                <w:szCs w:val="14"/>
                <w:lang w:val="en-GB"/>
              </w:rPr>
              <w:t>Boys</w:t>
            </w:r>
          </w:p>
          <w:p w14:paraId="71D6E53C" w14:textId="77777777" w:rsidR="00AC7436" w:rsidRPr="00FF31D4" w:rsidRDefault="00005B7F">
            <w:pPr>
              <w:spacing w:after="0" w:line="240" w:lineRule="auto"/>
              <w:jc w:val="center"/>
              <w:rPr>
                <w:rFonts w:ascii="Times New Roman" w:eastAsia="Times New Roman" w:hAnsi="Times New Roman" w:cs="Times New Roman"/>
                <w:i/>
                <w:sz w:val="14"/>
                <w:szCs w:val="14"/>
                <w:lang w:val="en-GB" w:eastAsia="es-ES"/>
              </w:rPr>
            </w:pPr>
            <w:r w:rsidRPr="00FF31D4">
              <w:rPr>
                <w:rFonts w:ascii="Times New Roman" w:eastAsia="Times New Roman" w:hAnsi="Times New Roman" w:cs="Times New Roman"/>
                <w:sz w:val="14"/>
                <w:szCs w:val="14"/>
                <w:lang w:val="en-GB" w:eastAsia="es-ES"/>
              </w:rPr>
              <w:t>(n = 393)</w:t>
            </w:r>
          </w:p>
        </w:tc>
        <w:tc>
          <w:tcPr>
            <w:tcW w:w="1122" w:type="pct"/>
            <w:gridSpan w:val="3"/>
            <w:tcBorders>
              <w:top w:val="single" w:sz="4" w:space="0" w:color="auto"/>
              <w:bottom w:val="single" w:sz="4" w:space="0" w:color="auto"/>
            </w:tcBorders>
            <w:noWrap/>
            <w:vAlign w:val="center"/>
          </w:tcPr>
          <w:p w14:paraId="5C252EA0"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hAnsi="Times New Roman" w:cs="Times New Roman"/>
                <w:sz w:val="14"/>
                <w:szCs w:val="14"/>
                <w:lang w:val="en-GB"/>
              </w:rPr>
              <w:t>Girls</w:t>
            </w:r>
          </w:p>
          <w:p w14:paraId="197A8579" w14:textId="77777777" w:rsidR="00AC7436" w:rsidRPr="00FF31D4" w:rsidRDefault="00005B7F">
            <w:pPr>
              <w:spacing w:after="0" w:line="240" w:lineRule="auto"/>
              <w:jc w:val="center"/>
              <w:rPr>
                <w:rFonts w:ascii="Times New Roman" w:eastAsia="Times New Roman" w:hAnsi="Times New Roman" w:cs="Times New Roman"/>
                <w:i/>
                <w:sz w:val="14"/>
                <w:szCs w:val="14"/>
                <w:lang w:val="en-GB" w:eastAsia="es-ES"/>
              </w:rPr>
            </w:pPr>
            <w:r w:rsidRPr="00FF31D4">
              <w:rPr>
                <w:rFonts w:ascii="Times New Roman" w:eastAsia="Times New Roman" w:hAnsi="Times New Roman" w:cs="Times New Roman"/>
                <w:sz w:val="14"/>
                <w:szCs w:val="14"/>
                <w:lang w:val="en-GB" w:eastAsia="es-ES"/>
              </w:rPr>
              <w:t>(n = 378)</w:t>
            </w:r>
          </w:p>
        </w:tc>
      </w:tr>
      <w:tr w:rsidR="00FF31D4" w:rsidRPr="00FF31D4" w14:paraId="75CA36D1" w14:textId="77777777">
        <w:trPr>
          <w:trHeight w:val="533"/>
        </w:trPr>
        <w:tc>
          <w:tcPr>
            <w:tcW w:w="1633" w:type="pct"/>
            <w:tcBorders>
              <w:top w:val="nil"/>
              <w:bottom w:val="single" w:sz="4" w:space="0" w:color="auto"/>
            </w:tcBorders>
            <w:noWrap/>
            <w:vAlign w:val="center"/>
          </w:tcPr>
          <w:p w14:paraId="38AE695E" w14:textId="77777777" w:rsidR="00AC7436" w:rsidRPr="00FF31D4" w:rsidRDefault="00005B7F">
            <w:pPr>
              <w:spacing w:after="0" w:line="240" w:lineRule="auto"/>
              <w:jc w:val="both"/>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 </w:t>
            </w:r>
          </w:p>
        </w:tc>
        <w:tc>
          <w:tcPr>
            <w:tcW w:w="417" w:type="pct"/>
            <w:tcBorders>
              <w:top w:val="single" w:sz="4" w:space="0" w:color="auto"/>
              <w:bottom w:val="single" w:sz="4" w:space="0" w:color="auto"/>
            </w:tcBorders>
            <w:noWrap/>
            <w:vAlign w:val="center"/>
          </w:tcPr>
          <w:p w14:paraId="160D1943"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hAnsi="Times New Roman" w:cs="Times New Roman"/>
                <w:sz w:val="14"/>
                <w:szCs w:val="14"/>
                <w:lang w:val="en-GB"/>
              </w:rPr>
              <w:t>First year</w:t>
            </w:r>
          </w:p>
          <w:p w14:paraId="0F8ED837"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(n = 383)</w:t>
            </w:r>
          </w:p>
        </w:tc>
        <w:tc>
          <w:tcPr>
            <w:tcW w:w="425" w:type="pct"/>
            <w:tcBorders>
              <w:top w:val="single" w:sz="4" w:space="0" w:color="auto"/>
              <w:bottom w:val="single" w:sz="4" w:space="0" w:color="auto"/>
            </w:tcBorders>
            <w:noWrap/>
            <w:vAlign w:val="center"/>
          </w:tcPr>
          <w:p w14:paraId="76096448"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hAnsi="Times New Roman" w:cs="Times New Roman"/>
                <w:sz w:val="14"/>
                <w:szCs w:val="14"/>
                <w:lang w:val="en-GB"/>
              </w:rPr>
              <w:t>Fourth year</w:t>
            </w:r>
          </w:p>
          <w:p w14:paraId="61592819"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(n = 378)</w:t>
            </w:r>
          </w:p>
        </w:tc>
        <w:tc>
          <w:tcPr>
            <w:tcW w:w="280" w:type="pct"/>
            <w:tcBorders>
              <w:top w:val="single" w:sz="4" w:space="0" w:color="auto"/>
              <w:bottom w:val="single" w:sz="4" w:space="0" w:color="auto"/>
              <w:right w:val="single" w:sz="4" w:space="0" w:color="auto"/>
            </w:tcBorders>
            <w:vAlign w:val="center"/>
          </w:tcPr>
          <w:p w14:paraId="3464305B"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i/>
                <w:sz w:val="14"/>
                <w:szCs w:val="14"/>
                <w:lang w:val="en-GB" w:eastAsia="es-ES"/>
              </w:rPr>
              <w:t xml:space="preserve">p </w:t>
            </w:r>
            <w:r w:rsidRPr="00FF31D4">
              <w:rPr>
                <w:rFonts w:ascii="Times New Roman" w:eastAsia="Times New Roman" w:hAnsi="Times New Roman" w:cs="Times New Roman"/>
                <w:sz w:val="14"/>
                <w:szCs w:val="14"/>
                <w:lang w:val="en-GB" w:eastAsia="es-ES"/>
              </w:rPr>
              <w:t>value</w:t>
            </w:r>
          </w:p>
        </w:tc>
        <w:tc>
          <w:tcPr>
            <w:tcW w:w="417" w:type="pct"/>
            <w:tcBorders>
              <w:top w:val="single" w:sz="4" w:space="0" w:color="auto"/>
              <w:left w:val="single" w:sz="4" w:space="0" w:color="auto"/>
              <w:bottom w:val="single" w:sz="4" w:space="0" w:color="auto"/>
            </w:tcBorders>
            <w:noWrap/>
            <w:vAlign w:val="center"/>
          </w:tcPr>
          <w:p w14:paraId="029FF4C5"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hAnsi="Times New Roman" w:cs="Times New Roman"/>
                <w:sz w:val="14"/>
                <w:szCs w:val="14"/>
                <w:lang w:val="en-GB"/>
              </w:rPr>
              <w:t>First year</w:t>
            </w:r>
          </w:p>
          <w:p w14:paraId="4D7DD7A6"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(n = 192)</w:t>
            </w:r>
          </w:p>
        </w:tc>
        <w:tc>
          <w:tcPr>
            <w:tcW w:w="425" w:type="pct"/>
            <w:tcBorders>
              <w:top w:val="single" w:sz="4" w:space="0" w:color="auto"/>
              <w:bottom w:val="single" w:sz="4" w:space="0" w:color="auto"/>
            </w:tcBorders>
            <w:noWrap/>
            <w:vAlign w:val="center"/>
          </w:tcPr>
          <w:p w14:paraId="6FC6C9FB"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hAnsi="Times New Roman" w:cs="Times New Roman"/>
                <w:sz w:val="14"/>
                <w:szCs w:val="14"/>
                <w:lang w:val="en-GB"/>
              </w:rPr>
              <w:t>Fourth year</w:t>
            </w:r>
          </w:p>
          <w:p w14:paraId="383F8863"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(n = 191)</w:t>
            </w:r>
          </w:p>
        </w:tc>
        <w:tc>
          <w:tcPr>
            <w:tcW w:w="280" w:type="pct"/>
            <w:tcBorders>
              <w:top w:val="single" w:sz="4" w:space="0" w:color="auto"/>
              <w:bottom w:val="single" w:sz="4" w:space="0" w:color="auto"/>
              <w:right w:val="single" w:sz="4" w:space="0" w:color="auto"/>
            </w:tcBorders>
            <w:vAlign w:val="center"/>
          </w:tcPr>
          <w:p w14:paraId="78600E82"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i/>
                <w:sz w:val="14"/>
                <w:szCs w:val="14"/>
                <w:lang w:val="en-GB" w:eastAsia="es-ES"/>
              </w:rPr>
              <w:t xml:space="preserve">p </w:t>
            </w:r>
            <w:r w:rsidRPr="00FF31D4">
              <w:rPr>
                <w:rFonts w:ascii="Times New Roman" w:eastAsia="Times New Roman" w:hAnsi="Times New Roman" w:cs="Times New Roman"/>
                <w:sz w:val="14"/>
                <w:szCs w:val="14"/>
                <w:lang w:val="en-GB" w:eastAsia="es-ES"/>
              </w:rPr>
              <w:t>value</w:t>
            </w:r>
          </w:p>
        </w:tc>
        <w:tc>
          <w:tcPr>
            <w:tcW w:w="417" w:type="pct"/>
            <w:tcBorders>
              <w:top w:val="single" w:sz="4" w:space="0" w:color="auto"/>
              <w:left w:val="single" w:sz="4" w:space="0" w:color="auto"/>
              <w:bottom w:val="single" w:sz="4" w:space="0" w:color="auto"/>
            </w:tcBorders>
            <w:noWrap/>
            <w:vAlign w:val="center"/>
          </w:tcPr>
          <w:p w14:paraId="18199B8C"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hAnsi="Times New Roman" w:cs="Times New Roman"/>
                <w:sz w:val="14"/>
                <w:szCs w:val="14"/>
                <w:lang w:val="en-GB"/>
              </w:rPr>
              <w:t>First year</w:t>
            </w:r>
          </w:p>
          <w:p w14:paraId="29710953"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(n = 191)</w:t>
            </w:r>
          </w:p>
        </w:tc>
        <w:tc>
          <w:tcPr>
            <w:tcW w:w="425" w:type="pct"/>
            <w:tcBorders>
              <w:top w:val="single" w:sz="4" w:space="0" w:color="auto"/>
              <w:bottom w:val="single" w:sz="4" w:space="0" w:color="auto"/>
            </w:tcBorders>
            <w:vAlign w:val="center"/>
          </w:tcPr>
          <w:p w14:paraId="707F8938"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hAnsi="Times New Roman" w:cs="Times New Roman"/>
                <w:sz w:val="14"/>
                <w:szCs w:val="14"/>
                <w:lang w:val="en-GB"/>
              </w:rPr>
              <w:t>Fourth year</w:t>
            </w:r>
          </w:p>
          <w:p w14:paraId="67C021E7"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(n = 187)</w:t>
            </w:r>
          </w:p>
        </w:tc>
        <w:tc>
          <w:tcPr>
            <w:tcW w:w="280" w:type="pct"/>
            <w:tcBorders>
              <w:top w:val="single" w:sz="4" w:space="0" w:color="auto"/>
              <w:bottom w:val="single" w:sz="4" w:space="0" w:color="auto"/>
            </w:tcBorders>
            <w:vAlign w:val="center"/>
          </w:tcPr>
          <w:p w14:paraId="50E17ECC"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i/>
                <w:sz w:val="14"/>
                <w:szCs w:val="14"/>
                <w:lang w:val="en-GB" w:eastAsia="es-ES"/>
              </w:rPr>
              <w:t xml:space="preserve">p </w:t>
            </w:r>
            <w:r w:rsidRPr="00FF31D4">
              <w:rPr>
                <w:rFonts w:ascii="Times New Roman" w:eastAsia="Times New Roman" w:hAnsi="Times New Roman" w:cs="Times New Roman"/>
                <w:sz w:val="14"/>
                <w:szCs w:val="14"/>
                <w:lang w:val="en-GB" w:eastAsia="es-ES"/>
              </w:rPr>
              <w:t>value</w:t>
            </w:r>
          </w:p>
        </w:tc>
      </w:tr>
      <w:tr w:rsidR="00FF31D4" w:rsidRPr="00FF31D4" w14:paraId="247256BA" w14:textId="77777777">
        <w:trPr>
          <w:trHeight w:val="340"/>
        </w:trPr>
        <w:tc>
          <w:tcPr>
            <w:tcW w:w="1633" w:type="pct"/>
            <w:tcBorders>
              <w:top w:val="single" w:sz="4" w:space="0" w:color="auto"/>
            </w:tcBorders>
            <w:noWrap/>
            <w:vAlign w:val="center"/>
          </w:tcPr>
          <w:p w14:paraId="69A5E08A" w14:textId="77777777" w:rsidR="00AC7436" w:rsidRPr="00FF31D4" w:rsidRDefault="00005B7F">
            <w:pPr>
              <w:spacing w:after="0" w:line="240" w:lineRule="auto"/>
              <w:jc w:val="both"/>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Physical activity (PAQ-A)</w:t>
            </w:r>
          </w:p>
        </w:tc>
        <w:tc>
          <w:tcPr>
            <w:tcW w:w="417" w:type="pct"/>
            <w:tcBorders>
              <w:top w:val="single" w:sz="4" w:space="0" w:color="auto"/>
            </w:tcBorders>
            <w:noWrap/>
            <w:vAlign w:val="center"/>
          </w:tcPr>
          <w:p w14:paraId="1BA40EA3"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2.76</w:t>
            </w:r>
            <w:r w:rsidRPr="00FF31D4">
              <w:rPr>
                <w:rFonts w:ascii="Times New Roman" w:hAnsi="Times New Roman" w:cs="Times New Roman"/>
                <w:sz w:val="14"/>
                <w:szCs w:val="14"/>
                <w:shd w:val="clear" w:color="auto" w:fill="FFFFFF"/>
                <w:lang w:val="en-GB"/>
              </w:rPr>
              <w:t>±</w:t>
            </w:r>
            <w:r w:rsidRPr="00FF31D4">
              <w:rPr>
                <w:rFonts w:ascii="Times New Roman" w:eastAsia="Times New Roman" w:hAnsi="Times New Roman" w:cs="Times New Roman"/>
                <w:sz w:val="14"/>
                <w:szCs w:val="14"/>
                <w:lang w:val="en-GB" w:eastAsia="es-ES"/>
              </w:rPr>
              <w:t>0.59</w:t>
            </w:r>
          </w:p>
        </w:tc>
        <w:tc>
          <w:tcPr>
            <w:tcW w:w="425" w:type="pct"/>
            <w:tcBorders>
              <w:top w:val="single" w:sz="4" w:space="0" w:color="auto"/>
            </w:tcBorders>
            <w:noWrap/>
            <w:vAlign w:val="center"/>
          </w:tcPr>
          <w:p w14:paraId="7FD24A65"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2.46</w:t>
            </w:r>
            <w:r w:rsidRPr="00FF31D4">
              <w:rPr>
                <w:rFonts w:ascii="Times New Roman" w:hAnsi="Times New Roman" w:cs="Times New Roman"/>
                <w:sz w:val="14"/>
                <w:szCs w:val="14"/>
                <w:shd w:val="clear" w:color="auto" w:fill="FFFFFF"/>
                <w:lang w:val="en-GB"/>
              </w:rPr>
              <w:t>±</w:t>
            </w:r>
            <w:r w:rsidRPr="00FF31D4">
              <w:rPr>
                <w:rFonts w:ascii="Times New Roman" w:eastAsia="Times New Roman" w:hAnsi="Times New Roman" w:cs="Times New Roman"/>
                <w:sz w:val="14"/>
                <w:szCs w:val="14"/>
                <w:lang w:val="en-GB" w:eastAsia="es-ES"/>
              </w:rPr>
              <w:t>0.60</w:t>
            </w:r>
          </w:p>
        </w:tc>
        <w:tc>
          <w:tcPr>
            <w:tcW w:w="280" w:type="pct"/>
            <w:tcBorders>
              <w:top w:val="single" w:sz="4" w:space="0" w:color="auto"/>
              <w:right w:val="single" w:sz="4" w:space="0" w:color="auto"/>
            </w:tcBorders>
            <w:vAlign w:val="center"/>
          </w:tcPr>
          <w:p w14:paraId="417CF3F6"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hAnsi="Times New Roman" w:cs="Times New Roman"/>
                <w:sz w:val="14"/>
                <w:szCs w:val="14"/>
                <w:lang w:val="en-GB"/>
              </w:rPr>
              <w:t>&lt;0.001</w:t>
            </w:r>
          </w:p>
        </w:tc>
        <w:tc>
          <w:tcPr>
            <w:tcW w:w="417" w:type="pct"/>
            <w:tcBorders>
              <w:top w:val="single" w:sz="4" w:space="0" w:color="auto"/>
              <w:left w:val="single" w:sz="4" w:space="0" w:color="auto"/>
            </w:tcBorders>
            <w:noWrap/>
            <w:vAlign w:val="center"/>
          </w:tcPr>
          <w:p w14:paraId="71A7F42A"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2.66</w:t>
            </w:r>
            <w:r w:rsidRPr="00FF31D4">
              <w:rPr>
                <w:rFonts w:ascii="Times New Roman" w:hAnsi="Times New Roman" w:cs="Times New Roman"/>
                <w:sz w:val="14"/>
                <w:szCs w:val="14"/>
                <w:shd w:val="clear" w:color="auto" w:fill="FFFFFF"/>
                <w:lang w:val="en-GB"/>
              </w:rPr>
              <w:t>±</w:t>
            </w:r>
            <w:r w:rsidRPr="00FF31D4">
              <w:rPr>
                <w:rFonts w:ascii="Times New Roman" w:eastAsia="Times New Roman" w:hAnsi="Times New Roman" w:cs="Times New Roman"/>
                <w:sz w:val="14"/>
                <w:szCs w:val="14"/>
                <w:lang w:val="en-GB" w:eastAsia="es-ES"/>
              </w:rPr>
              <w:t>0.58</w:t>
            </w:r>
          </w:p>
        </w:tc>
        <w:tc>
          <w:tcPr>
            <w:tcW w:w="425" w:type="pct"/>
            <w:tcBorders>
              <w:top w:val="single" w:sz="4" w:space="0" w:color="auto"/>
            </w:tcBorders>
            <w:noWrap/>
            <w:vAlign w:val="center"/>
          </w:tcPr>
          <w:p w14:paraId="534EDA41"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2.27</w:t>
            </w:r>
            <w:r w:rsidRPr="00FF31D4">
              <w:rPr>
                <w:rFonts w:ascii="Times New Roman" w:hAnsi="Times New Roman" w:cs="Times New Roman"/>
                <w:sz w:val="14"/>
                <w:szCs w:val="14"/>
                <w:shd w:val="clear" w:color="auto" w:fill="FFFFFF"/>
                <w:lang w:val="en-GB"/>
              </w:rPr>
              <w:t>±</w:t>
            </w:r>
            <w:r w:rsidRPr="00FF31D4">
              <w:rPr>
                <w:rFonts w:ascii="Times New Roman" w:eastAsia="Times New Roman" w:hAnsi="Times New Roman" w:cs="Times New Roman"/>
                <w:sz w:val="14"/>
                <w:szCs w:val="14"/>
                <w:lang w:val="en-GB" w:eastAsia="es-ES"/>
              </w:rPr>
              <w:t>0.54</w:t>
            </w:r>
          </w:p>
        </w:tc>
        <w:tc>
          <w:tcPr>
            <w:tcW w:w="280" w:type="pct"/>
            <w:tcBorders>
              <w:top w:val="single" w:sz="4" w:space="0" w:color="auto"/>
              <w:right w:val="single" w:sz="4" w:space="0" w:color="auto"/>
            </w:tcBorders>
            <w:vAlign w:val="center"/>
          </w:tcPr>
          <w:p w14:paraId="1317D824" w14:textId="77777777" w:rsidR="00AC7436" w:rsidRPr="00FF31D4" w:rsidRDefault="00005B7F">
            <w:pPr>
              <w:spacing w:after="0" w:line="240" w:lineRule="auto"/>
              <w:jc w:val="center"/>
              <w:rPr>
                <w:rFonts w:ascii="Times New Roman" w:hAnsi="Times New Roman" w:cs="Times New Roman"/>
                <w:sz w:val="14"/>
                <w:szCs w:val="14"/>
                <w:lang w:val="en-GB"/>
              </w:rPr>
            </w:pPr>
            <w:r w:rsidRPr="00FF31D4">
              <w:rPr>
                <w:rFonts w:ascii="Times New Roman" w:hAnsi="Times New Roman" w:cs="Times New Roman"/>
                <w:sz w:val="14"/>
                <w:szCs w:val="14"/>
                <w:lang w:val="en-GB"/>
              </w:rPr>
              <w:t>&lt;0.001</w:t>
            </w:r>
          </w:p>
        </w:tc>
        <w:tc>
          <w:tcPr>
            <w:tcW w:w="417" w:type="pct"/>
            <w:tcBorders>
              <w:top w:val="single" w:sz="4" w:space="0" w:color="auto"/>
              <w:left w:val="single" w:sz="4" w:space="0" w:color="auto"/>
            </w:tcBorders>
            <w:noWrap/>
            <w:vAlign w:val="center"/>
          </w:tcPr>
          <w:p w14:paraId="14CB9F78"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2.85</w:t>
            </w:r>
            <w:r w:rsidRPr="00FF31D4">
              <w:rPr>
                <w:rFonts w:ascii="Times New Roman" w:hAnsi="Times New Roman" w:cs="Times New Roman"/>
                <w:sz w:val="14"/>
                <w:szCs w:val="14"/>
                <w:shd w:val="clear" w:color="auto" w:fill="FFFFFF"/>
                <w:lang w:val="en-GB"/>
              </w:rPr>
              <w:t>±</w:t>
            </w:r>
            <w:r w:rsidRPr="00FF31D4">
              <w:rPr>
                <w:rFonts w:ascii="Times New Roman" w:eastAsia="Times New Roman" w:hAnsi="Times New Roman" w:cs="Times New Roman"/>
                <w:sz w:val="14"/>
                <w:szCs w:val="14"/>
                <w:lang w:val="en-GB" w:eastAsia="es-ES"/>
              </w:rPr>
              <w:t>0.60</w:t>
            </w:r>
          </w:p>
        </w:tc>
        <w:tc>
          <w:tcPr>
            <w:tcW w:w="425" w:type="pct"/>
            <w:tcBorders>
              <w:top w:val="single" w:sz="4" w:space="0" w:color="auto"/>
            </w:tcBorders>
            <w:vAlign w:val="center"/>
          </w:tcPr>
          <w:p w14:paraId="62B16F85" w14:textId="77777777" w:rsidR="00AC7436" w:rsidRPr="00FF31D4" w:rsidRDefault="00005B7F">
            <w:pPr>
              <w:spacing w:after="0" w:line="240" w:lineRule="auto"/>
              <w:jc w:val="center"/>
              <w:rPr>
                <w:rFonts w:ascii="Times New Roman" w:hAnsi="Times New Roman" w:cs="Times New Roman"/>
                <w:sz w:val="14"/>
                <w:szCs w:val="14"/>
                <w:lang w:val="en-GB"/>
              </w:rPr>
            </w:pPr>
            <w:r w:rsidRPr="00FF31D4">
              <w:rPr>
                <w:rFonts w:ascii="Times New Roman" w:eastAsia="Times New Roman" w:hAnsi="Times New Roman" w:cs="Times New Roman"/>
                <w:sz w:val="14"/>
                <w:szCs w:val="14"/>
                <w:lang w:val="en-GB" w:eastAsia="es-ES"/>
              </w:rPr>
              <w:t>2.64</w:t>
            </w:r>
            <w:r w:rsidRPr="00FF31D4">
              <w:rPr>
                <w:rFonts w:ascii="Times New Roman" w:hAnsi="Times New Roman" w:cs="Times New Roman"/>
                <w:sz w:val="14"/>
                <w:szCs w:val="14"/>
                <w:shd w:val="clear" w:color="auto" w:fill="FFFFFF"/>
                <w:lang w:val="en-GB"/>
              </w:rPr>
              <w:t>±</w:t>
            </w:r>
            <w:r w:rsidRPr="00FF31D4">
              <w:rPr>
                <w:rFonts w:ascii="Times New Roman" w:eastAsia="Times New Roman" w:hAnsi="Times New Roman" w:cs="Times New Roman"/>
                <w:sz w:val="14"/>
                <w:szCs w:val="14"/>
                <w:lang w:val="en-GB" w:eastAsia="es-ES"/>
              </w:rPr>
              <w:t>0.60</w:t>
            </w:r>
          </w:p>
        </w:tc>
        <w:tc>
          <w:tcPr>
            <w:tcW w:w="280" w:type="pct"/>
            <w:tcBorders>
              <w:top w:val="single" w:sz="4" w:space="0" w:color="auto"/>
            </w:tcBorders>
            <w:vAlign w:val="center"/>
          </w:tcPr>
          <w:p w14:paraId="4C10329C" w14:textId="77777777" w:rsidR="00AC7436" w:rsidRPr="00FF31D4" w:rsidRDefault="00005B7F">
            <w:pPr>
              <w:spacing w:after="0" w:line="240" w:lineRule="auto"/>
              <w:jc w:val="center"/>
              <w:rPr>
                <w:rFonts w:ascii="Times New Roman" w:hAnsi="Times New Roman" w:cs="Times New Roman"/>
                <w:sz w:val="14"/>
                <w:szCs w:val="14"/>
                <w:lang w:val="en-GB"/>
              </w:rPr>
            </w:pPr>
            <w:r w:rsidRPr="00FF31D4">
              <w:rPr>
                <w:rFonts w:ascii="Times New Roman" w:hAnsi="Times New Roman" w:cs="Times New Roman"/>
                <w:sz w:val="14"/>
                <w:szCs w:val="14"/>
                <w:lang w:val="en-GB"/>
              </w:rPr>
              <w:t>&lt;0.001</w:t>
            </w:r>
          </w:p>
        </w:tc>
      </w:tr>
      <w:tr w:rsidR="00FF31D4" w:rsidRPr="00FF31D4" w14:paraId="5F4CDAF2" w14:textId="77777777">
        <w:trPr>
          <w:trHeight w:val="340"/>
        </w:trPr>
        <w:tc>
          <w:tcPr>
            <w:tcW w:w="1633" w:type="pct"/>
            <w:noWrap/>
            <w:vAlign w:val="center"/>
          </w:tcPr>
          <w:p w14:paraId="5175DF0F" w14:textId="77777777" w:rsidR="00AC7436" w:rsidRPr="00FF31D4" w:rsidRDefault="00005B7F">
            <w:pPr>
              <w:spacing w:after="0" w:line="240" w:lineRule="auto"/>
              <w:ind w:left="67" w:firstLine="45"/>
              <w:jc w:val="both"/>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Leisure time activity: sports</w:t>
            </w:r>
          </w:p>
        </w:tc>
        <w:tc>
          <w:tcPr>
            <w:tcW w:w="417" w:type="pct"/>
            <w:noWrap/>
            <w:vAlign w:val="center"/>
          </w:tcPr>
          <w:p w14:paraId="31FB12D9"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1.52</w:t>
            </w:r>
            <w:r w:rsidRPr="00FF31D4">
              <w:rPr>
                <w:rFonts w:ascii="Times New Roman" w:hAnsi="Times New Roman" w:cs="Times New Roman"/>
                <w:sz w:val="14"/>
                <w:szCs w:val="14"/>
                <w:shd w:val="clear" w:color="auto" w:fill="FFFFFF"/>
                <w:lang w:val="en-GB"/>
              </w:rPr>
              <w:t>±</w:t>
            </w:r>
            <w:r w:rsidRPr="00FF31D4">
              <w:rPr>
                <w:rFonts w:ascii="Times New Roman" w:eastAsia="Times New Roman" w:hAnsi="Times New Roman" w:cs="Times New Roman"/>
                <w:sz w:val="14"/>
                <w:szCs w:val="14"/>
                <w:lang w:val="en-GB" w:eastAsia="es-ES"/>
              </w:rPr>
              <w:t>0.29</w:t>
            </w:r>
          </w:p>
        </w:tc>
        <w:tc>
          <w:tcPr>
            <w:tcW w:w="425" w:type="pct"/>
            <w:noWrap/>
            <w:vAlign w:val="center"/>
          </w:tcPr>
          <w:p w14:paraId="080EE4DA"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1.34</w:t>
            </w:r>
            <w:r w:rsidRPr="00FF31D4">
              <w:rPr>
                <w:rFonts w:ascii="Times New Roman" w:hAnsi="Times New Roman" w:cs="Times New Roman"/>
                <w:sz w:val="14"/>
                <w:szCs w:val="14"/>
                <w:shd w:val="clear" w:color="auto" w:fill="FFFFFF"/>
                <w:lang w:val="en-GB"/>
              </w:rPr>
              <w:t>±</w:t>
            </w:r>
            <w:r w:rsidRPr="00FF31D4">
              <w:rPr>
                <w:rFonts w:ascii="Times New Roman" w:eastAsia="Times New Roman" w:hAnsi="Times New Roman" w:cs="Times New Roman"/>
                <w:sz w:val="14"/>
                <w:szCs w:val="14"/>
                <w:lang w:val="en-GB" w:eastAsia="es-ES"/>
              </w:rPr>
              <w:t>0.23</w:t>
            </w:r>
          </w:p>
        </w:tc>
        <w:tc>
          <w:tcPr>
            <w:tcW w:w="280" w:type="pct"/>
            <w:tcBorders>
              <w:right w:val="single" w:sz="4" w:space="0" w:color="auto"/>
            </w:tcBorders>
            <w:vAlign w:val="center"/>
          </w:tcPr>
          <w:p w14:paraId="3E6E46C1"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hAnsi="Times New Roman" w:cs="Times New Roman"/>
                <w:sz w:val="14"/>
                <w:szCs w:val="14"/>
                <w:lang w:val="en-GB"/>
              </w:rPr>
              <w:t>&lt;0.001</w:t>
            </w:r>
          </w:p>
        </w:tc>
        <w:tc>
          <w:tcPr>
            <w:tcW w:w="417" w:type="pct"/>
            <w:tcBorders>
              <w:left w:val="single" w:sz="4" w:space="0" w:color="auto"/>
            </w:tcBorders>
            <w:noWrap/>
            <w:vAlign w:val="center"/>
          </w:tcPr>
          <w:p w14:paraId="279D1F80"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1.55</w:t>
            </w:r>
            <w:r w:rsidRPr="00FF31D4">
              <w:rPr>
                <w:rFonts w:ascii="Times New Roman" w:hAnsi="Times New Roman" w:cs="Times New Roman"/>
                <w:sz w:val="14"/>
                <w:szCs w:val="14"/>
                <w:shd w:val="clear" w:color="auto" w:fill="FFFFFF"/>
                <w:lang w:val="en-GB"/>
              </w:rPr>
              <w:t>±</w:t>
            </w:r>
            <w:r w:rsidRPr="00FF31D4">
              <w:rPr>
                <w:rFonts w:ascii="Times New Roman" w:eastAsia="Times New Roman" w:hAnsi="Times New Roman" w:cs="Times New Roman"/>
                <w:sz w:val="14"/>
                <w:szCs w:val="14"/>
                <w:lang w:val="en-GB" w:eastAsia="es-ES"/>
              </w:rPr>
              <w:t>0.29</w:t>
            </w:r>
          </w:p>
        </w:tc>
        <w:tc>
          <w:tcPr>
            <w:tcW w:w="425" w:type="pct"/>
            <w:noWrap/>
            <w:vAlign w:val="center"/>
          </w:tcPr>
          <w:p w14:paraId="51CE2C9E"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1.39</w:t>
            </w:r>
            <w:r w:rsidRPr="00FF31D4">
              <w:rPr>
                <w:rFonts w:ascii="Times New Roman" w:hAnsi="Times New Roman" w:cs="Times New Roman"/>
                <w:sz w:val="14"/>
                <w:szCs w:val="14"/>
                <w:shd w:val="clear" w:color="auto" w:fill="FFFFFF"/>
                <w:lang w:val="en-GB"/>
              </w:rPr>
              <w:t>±</w:t>
            </w:r>
            <w:r w:rsidRPr="00FF31D4">
              <w:rPr>
                <w:rFonts w:ascii="Times New Roman" w:eastAsia="Times New Roman" w:hAnsi="Times New Roman" w:cs="Times New Roman"/>
                <w:sz w:val="14"/>
                <w:szCs w:val="14"/>
                <w:lang w:val="en-GB" w:eastAsia="es-ES"/>
              </w:rPr>
              <w:t>0.19</w:t>
            </w:r>
          </w:p>
        </w:tc>
        <w:tc>
          <w:tcPr>
            <w:tcW w:w="280" w:type="pct"/>
            <w:tcBorders>
              <w:right w:val="single" w:sz="4" w:space="0" w:color="auto"/>
            </w:tcBorders>
            <w:vAlign w:val="center"/>
          </w:tcPr>
          <w:p w14:paraId="6D928F4C" w14:textId="77777777" w:rsidR="00AC7436" w:rsidRPr="00FF31D4" w:rsidRDefault="00005B7F">
            <w:pPr>
              <w:spacing w:after="0" w:line="240" w:lineRule="auto"/>
              <w:jc w:val="center"/>
              <w:rPr>
                <w:rFonts w:ascii="Times New Roman" w:hAnsi="Times New Roman" w:cs="Times New Roman"/>
                <w:sz w:val="14"/>
                <w:szCs w:val="14"/>
                <w:lang w:val="en-GB"/>
              </w:rPr>
            </w:pPr>
            <w:r w:rsidRPr="00FF31D4">
              <w:rPr>
                <w:rFonts w:ascii="Times New Roman" w:hAnsi="Times New Roman" w:cs="Times New Roman"/>
                <w:sz w:val="14"/>
                <w:szCs w:val="14"/>
                <w:lang w:val="en-GB"/>
              </w:rPr>
              <w:t>&lt;0.001</w:t>
            </w:r>
          </w:p>
        </w:tc>
        <w:tc>
          <w:tcPr>
            <w:tcW w:w="417" w:type="pct"/>
            <w:tcBorders>
              <w:left w:val="single" w:sz="4" w:space="0" w:color="auto"/>
            </w:tcBorders>
            <w:noWrap/>
            <w:vAlign w:val="center"/>
          </w:tcPr>
          <w:p w14:paraId="2A905803"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1.50</w:t>
            </w:r>
            <w:r w:rsidRPr="00FF31D4">
              <w:rPr>
                <w:rFonts w:ascii="Times New Roman" w:hAnsi="Times New Roman" w:cs="Times New Roman"/>
                <w:sz w:val="14"/>
                <w:szCs w:val="14"/>
                <w:shd w:val="clear" w:color="auto" w:fill="FFFFFF"/>
                <w:lang w:val="en-GB"/>
              </w:rPr>
              <w:t>±</w:t>
            </w:r>
            <w:r w:rsidRPr="00FF31D4">
              <w:rPr>
                <w:rFonts w:ascii="Times New Roman" w:eastAsia="Times New Roman" w:hAnsi="Times New Roman" w:cs="Times New Roman"/>
                <w:sz w:val="14"/>
                <w:szCs w:val="14"/>
                <w:lang w:val="en-GB" w:eastAsia="es-ES"/>
              </w:rPr>
              <w:t>0.3</w:t>
            </w:r>
          </w:p>
        </w:tc>
        <w:tc>
          <w:tcPr>
            <w:tcW w:w="425" w:type="pct"/>
            <w:vAlign w:val="center"/>
          </w:tcPr>
          <w:p w14:paraId="7E8D393D" w14:textId="77777777" w:rsidR="00AC7436" w:rsidRPr="00FF31D4" w:rsidRDefault="00005B7F">
            <w:pPr>
              <w:spacing w:after="0" w:line="240" w:lineRule="auto"/>
              <w:jc w:val="center"/>
              <w:rPr>
                <w:rFonts w:ascii="Times New Roman" w:hAnsi="Times New Roman" w:cs="Times New Roman"/>
                <w:sz w:val="14"/>
                <w:szCs w:val="14"/>
                <w:lang w:val="en-GB"/>
              </w:rPr>
            </w:pPr>
            <w:r w:rsidRPr="00FF31D4">
              <w:rPr>
                <w:rFonts w:ascii="Times New Roman" w:eastAsia="Times New Roman" w:hAnsi="Times New Roman" w:cs="Times New Roman"/>
                <w:sz w:val="14"/>
                <w:szCs w:val="14"/>
                <w:lang w:val="en-GB" w:eastAsia="es-ES"/>
              </w:rPr>
              <w:t>1.3</w:t>
            </w:r>
            <w:r w:rsidRPr="00FF31D4">
              <w:rPr>
                <w:rFonts w:ascii="Times New Roman" w:hAnsi="Times New Roman" w:cs="Times New Roman"/>
                <w:sz w:val="14"/>
                <w:szCs w:val="14"/>
                <w:shd w:val="clear" w:color="auto" w:fill="FFFFFF"/>
                <w:lang w:val="en-GB"/>
              </w:rPr>
              <w:t>±</w:t>
            </w:r>
            <w:r w:rsidRPr="00FF31D4">
              <w:rPr>
                <w:rFonts w:ascii="Times New Roman" w:eastAsia="Times New Roman" w:hAnsi="Times New Roman" w:cs="Times New Roman"/>
                <w:sz w:val="14"/>
                <w:szCs w:val="14"/>
                <w:lang w:val="en-GB" w:eastAsia="es-ES"/>
              </w:rPr>
              <w:t>0.29</w:t>
            </w:r>
          </w:p>
        </w:tc>
        <w:tc>
          <w:tcPr>
            <w:tcW w:w="280" w:type="pct"/>
            <w:vAlign w:val="center"/>
          </w:tcPr>
          <w:p w14:paraId="0AD9C450" w14:textId="77777777" w:rsidR="00AC7436" w:rsidRPr="00FF31D4" w:rsidRDefault="00005B7F">
            <w:pPr>
              <w:spacing w:after="0" w:line="240" w:lineRule="auto"/>
              <w:jc w:val="center"/>
              <w:rPr>
                <w:rFonts w:ascii="Times New Roman" w:hAnsi="Times New Roman" w:cs="Times New Roman"/>
                <w:sz w:val="14"/>
                <w:szCs w:val="14"/>
                <w:lang w:val="en-GB"/>
              </w:rPr>
            </w:pPr>
            <w:r w:rsidRPr="00FF31D4">
              <w:rPr>
                <w:rFonts w:ascii="Times New Roman" w:hAnsi="Times New Roman" w:cs="Times New Roman"/>
                <w:sz w:val="14"/>
                <w:szCs w:val="14"/>
                <w:lang w:val="en-GB"/>
              </w:rPr>
              <w:t>&lt;0.001</w:t>
            </w:r>
          </w:p>
        </w:tc>
      </w:tr>
      <w:tr w:rsidR="00FF31D4" w:rsidRPr="00FF31D4" w14:paraId="1C8590D8" w14:textId="77777777">
        <w:trPr>
          <w:trHeight w:val="340"/>
        </w:trPr>
        <w:tc>
          <w:tcPr>
            <w:tcW w:w="1633" w:type="pct"/>
            <w:noWrap/>
            <w:vAlign w:val="center"/>
          </w:tcPr>
          <w:p w14:paraId="2278645C" w14:textId="77777777" w:rsidR="00AC7436" w:rsidRPr="00FF31D4" w:rsidRDefault="00005B7F">
            <w:pPr>
              <w:spacing w:after="0" w:line="240" w:lineRule="auto"/>
              <w:ind w:left="67" w:firstLine="45"/>
              <w:jc w:val="both"/>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Activity during physical education classes</w:t>
            </w:r>
          </w:p>
        </w:tc>
        <w:tc>
          <w:tcPr>
            <w:tcW w:w="417" w:type="pct"/>
            <w:noWrap/>
            <w:vAlign w:val="center"/>
          </w:tcPr>
          <w:p w14:paraId="7FAEED38"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4.07</w:t>
            </w:r>
            <w:r w:rsidRPr="00FF31D4">
              <w:rPr>
                <w:rFonts w:ascii="Times New Roman" w:hAnsi="Times New Roman" w:cs="Times New Roman"/>
                <w:sz w:val="14"/>
                <w:szCs w:val="14"/>
                <w:shd w:val="clear" w:color="auto" w:fill="FFFFFF"/>
                <w:lang w:val="en-GB"/>
              </w:rPr>
              <w:t>±</w:t>
            </w:r>
            <w:r w:rsidRPr="00FF31D4">
              <w:rPr>
                <w:rFonts w:ascii="Times New Roman" w:eastAsia="Times New Roman" w:hAnsi="Times New Roman" w:cs="Times New Roman"/>
                <w:sz w:val="14"/>
                <w:szCs w:val="14"/>
                <w:lang w:val="en-GB" w:eastAsia="es-ES"/>
              </w:rPr>
              <w:t>0.85</w:t>
            </w:r>
          </w:p>
        </w:tc>
        <w:tc>
          <w:tcPr>
            <w:tcW w:w="425" w:type="pct"/>
            <w:noWrap/>
            <w:vAlign w:val="center"/>
          </w:tcPr>
          <w:p w14:paraId="74CF6857"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3.90</w:t>
            </w:r>
            <w:r w:rsidRPr="00FF31D4">
              <w:rPr>
                <w:rFonts w:ascii="Times New Roman" w:hAnsi="Times New Roman" w:cs="Times New Roman"/>
                <w:sz w:val="14"/>
                <w:szCs w:val="14"/>
                <w:shd w:val="clear" w:color="auto" w:fill="FFFFFF"/>
                <w:lang w:val="en-GB"/>
              </w:rPr>
              <w:t>±</w:t>
            </w:r>
            <w:r w:rsidRPr="00FF31D4">
              <w:rPr>
                <w:rFonts w:ascii="Times New Roman" w:eastAsia="Times New Roman" w:hAnsi="Times New Roman" w:cs="Times New Roman"/>
                <w:sz w:val="14"/>
                <w:szCs w:val="14"/>
                <w:lang w:val="en-GB" w:eastAsia="es-ES"/>
              </w:rPr>
              <w:t>0.89</w:t>
            </w:r>
          </w:p>
        </w:tc>
        <w:tc>
          <w:tcPr>
            <w:tcW w:w="280" w:type="pct"/>
            <w:tcBorders>
              <w:right w:val="single" w:sz="4" w:space="0" w:color="auto"/>
            </w:tcBorders>
            <w:vAlign w:val="center"/>
          </w:tcPr>
          <w:p w14:paraId="53E2BA21"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0.007</w:t>
            </w:r>
          </w:p>
        </w:tc>
        <w:tc>
          <w:tcPr>
            <w:tcW w:w="417" w:type="pct"/>
            <w:tcBorders>
              <w:left w:val="single" w:sz="4" w:space="0" w:color="auto"/>
            </w:tcBorders>
            <w:noWrap/>
            <w:vAlign w:val="center"/>
          </w:tcPr>
          <w:p w14:paraId="3C0B6CD0"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4.13</w:t>
            </w:r>
            <w:r w:rsidRPr="00FF31D4">
              <w:rPr>
                <w:rFonts w:ascii="Times New Roman" w:hAnsi="Times New Roman" w:cs="Times New Roman"/>
                <w:sz w:val="14"/>
                <w:szCs w:val="14"/>
                <w:shd w:val="clear" w:color="auto" w:fill="FFFFFF"/>
                <w:lang w:val="en-GB"/>
              </w:rPr>
              <w:t>±</w:t>
            </w:r>
            <w:r w:rsidRPr="00FF31D4">
              <w:rPr>
                <w:rFonts w:ascii="Times New Roman" w:eastAsia="Times New Roman" w:hAnsi="Times New Roman" w:cs="Times New Roman"/>
                <w:sz w:val="14"/>
                <w:szCs w:val="14"/>
                <w:lang w:val="en-GB" w:eastAsia="es-ES"/>
              </w:rPr>
              <w:t>0.9</w:t>
            </w:r>
          </w:p>
        </w:tc>
        <w:tc>
          <w:tcPr>
            <w:tcW w:w="425" w:type="pct"/>
            <w:noWrap/>
            <w:vAlign w:val="center"/>
          </w:tcPr>
          <w:p w14:paraId="1D5A45D3"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4.04</w:t>
            </w:r>
            <w:r w:rsidRPr="00FF31D4">
              <w:rPr>
                <w:rFonts w:ascii="Times New Roman" w:hAnsi="Times New Roman" w:cs="Times New Roman"/>
                <w:sz w:val="14"/>
                <w:szCs w:val="14"/>
                <w:shd w:val="clear" w:color="auto" w:fill="FFFFFF"/>
                <w:lang w:val="en-GB"/>
              </w:rPr>
              <w:t>±</w:t>
            </w:r>
            <w:r w:rsidRPr="00FF31D4">
              <w:rPr>
                <w:rFonts w:ascii="Times New Roman" w:eastAsia="Times New Roman" w:hAnsi="Times New Roman" w:cs="Times New Roman"/>
                <w:sz w:val="14"/>
                <w:szCs w:val="14"/>
                <w:lang w:val="en-GB" w:eastAsia="es-ES"/>
              </w:rPr>
              <w:t>0.9</w:t>
            </w:r>
          </w:p>
        </w:tc>
        <w:tc>
          <w:tcPr>
            <w:tcW w:w="280" w:type="pct"/>
            <w:tcBorders>
              <w:right w:val="single" w:sz="4" w:space="0" w:color="auto"/>
            </w:tcBorders>
            <w:vAlign w:val="center"/>
          </w:tcPr>
          <w:p w14:paraId="2B357676"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0.282</w:t>
            </w:r>
          </w:p>
        </w:tc>
        <w:tc>
          <w:tcPr>
            <w:tcW w:w="417" w:type="pct"/>
            <w:tcBorders>
              <w:left w:val="single" w:sz="4" w:space="0" w:color="auto"/>
            </w:tcBorders>
            <w:noWrap/>
            <w:vAlign w:val="center"/>
          </w:tcPr>
          <w:p w14:paraId="3D0E594B"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3.99</w:t>
            </w:r>
            <w:r w:rsidRPr="00FF31D4">
              <w:rPr>
                <w:rFonts w:ascii="Times New Roman" w:hAnsi="Times New Roman" w:cs="Times New Roman"/>
                <w:sz w:val="14"/>
                <w:szCs w:val="14"/>
                <w:shd w:val="clear" w:color="auto" w:fill="FFFFFF"/>
                <w:lang w:val="en-GB"/>
              </w:rPr>
              <w:t>±</w:t>
            </w:r>
            <w:r w:rsidRPr="00FF31D4">
              <w:rPr>
                <w:rFonts w:ascii="Times New Roman" w:eastAsia="Times New Roman" w:hAnsi="Times New Roman" w:cs="Times New Roman"/>
                <w:sz w:val="14"/>
                <w:szCs w:val="14"/>
                <w:lang w:val="en-GB" w:eastAsia="es-ES"/>
              </w:rPr>
              <w:t>0.81</w:t>
            </w:r>
          </w:p>
        </w:tc>
        <w:tc>
          <w:tcPr>
            <w:tcW w:w="425" w:type="pct"/>
            <w:vAlign w:val="center"/>
          </w:tcPr>
          <w:p w14:paraId="6A847693"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3.74</w:t>
            </w:r>
            <w:r w:rsidRPr="00FF31D4">
              <w:rPr>
                <w:rFonts w:ascii="Times New Roman" w:hAnsi="Times New Roman" w:cs="Times New Roman"/>
                <w:sz w:val="14"/>
                <w:szCs w:val="14"/>
                <w:shd w:val="clear" w:color="auto" w:fill="FFFFFF"/>
                <w:lang w:val="en-GB"/>
              </w:rPr>
              <w:t>±</w:t>
            </w:r>
            <w:r w:rsidRPr="00FF31D4">
              <w:rPr>
                <w:rFonts w:ascii="Times New Roman" w:eastAsia="Times New Roman" w:hAnsi="Times New Roman" w:cs="Times New Roman"/>
                <w:sz w:val="14"/>
                <w:szCs w:val="14"/>
                <w:lang w:val="en-GB" w:eastAsia="es-ES"/>
              </w:rPr>
              <w:t>0.88</w:t>
            </w:r>
          </w:p>
        </w:tc>
        <w:tc>
          <w:tcPr>
            <w:tcW w:w="280" w:type="pct"/>
            <w:vAlign w:val="center"/>
          </w:tcPr>
          <w:p w14:paraId="76C5C78E"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0.005</w:t>
            </w:r>
          </w:p>
        </w:tc>
      </w:tr>
      <w:tr w:rsidR="00FF31D4" w:rsidRPr="00FF31D4" w14:paraId="77F44F81" w14:textId="77777777">
        <w:trPr>
          <w:trHeight w:val="340"/>
        </w:trPr>
        <w:tc>
          <w:tcPr>
            <w:tcW w:w="1633" w:type="pct"/>
            <w:noWrap/>
            <w:vAlign w:val="center"/>
          </w:tcPr>
          <w:p w14:paraId="4B12647E" w14:textId="77777777" w:rsidR="00AC7436" w:rsidRPr="00FF31D4" w:rsidRDefault="00005B7F">
            <w:pPr>
              <w:spacing w:after="0" w:line="240" w:lineRule="auto"/>
              <w:ind w:left="67" w:firstLine="45"/>
              <w:jc w:val="both"/>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Break time activity</w:t>
            </w:r>
          </w:p>
        </w:tc>
        <w:tc>
          <w:tcPr>
            <w:tcW w:w="417" w:type="pct"/>
            <w:noWrap/>
            <w:vAlign w:val="center"/>
          </w:tcPr>
          <w:p w14:paraId="1BA60E31"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2.61</w:t>
            </w:r>
            <w:r w:rsidRPr="00FF31D4">
              <w:rPr>
                <w:rFonts w:ascii="Times New Roman" w:hAnsi="Times New Roman" w:cs="Times New Roman"/>
                <w:sz w:val="14"/>
                <w:szCs w:val="14"/>
                <w:shd w:val="clear" w:color="auto" w:fill="FFFFFF"/>
                <w:lang w:val="en-GB"/>
              </w:rPr>
              <w:t>±</w:t>
            </w:r>
            <w:r w:rsidRPr="00FF31D4">
              <w:rPr>
                <w:rFonts w:ascii="Times New Roman" w:eastAsia="Times New Roman" w:hAnsi="Times New Roman" w:cs="Times New Roman"/>
                <w:sz w:val="14"/>
                <w:szCs w:val="14"/>
                <w:lang w:val="en-GB" w:eastAsia="es-ES"/>
              </w:rPr>
              <w:t>1.15</w:t>
            </w:r>
          </w:p>
        </w:tc>
        <w:tc>
          <w:tcPr>
            <w:tcW w:w="425" w:type="pct"/>
            <w:noWrap/>
            <w:vAlign w:val="center"/>
          </w:tcPr>
          <w:p w14:paraId="4C7B2E2A"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1.82</w:t>
            </w:r>
            <w:r w:rsidRPr="00FF31D4">
              <w:rPr>
                <w:rFonts w:ascii="Times New Roman" w:hAnsi="Times New Roman" w:cs="Times New Roman"/>
                <w:sz w:val="14"/>
                <w:szCs w:val="14"/>
                <w:shd w:val="clear" w:color="auto" w:fill="FFFFFF"/>
                <w:lang w:val="en-GB"/>
              </w:rPr>
              <w:t>±</w:t>
            </w:r>
            <w:r w:rsidRPr="00FF31D4">
              <w:rPr>
                <w:rFonts w:ascii="Times New Roman" w:eastAsia="Times New Roman" w:hAnsi="Times New Roman" w:cs="Times New Roman"/>
                <w:sz w:val="14"/>
                <w:szCs w:val="14"/>
                <w:lang w:val="en-GB" w:eastAsia="es-ES"/>
              </w:rPr>
              <w:t>0.91</w:t>
            </w:r>
          </w:p>
        </w:tc>
        <w:tc>
          <w:tcPr>
            <w:tcW w:w="280" w:type="pct"/>
            <w:tcBorders>
              <w:right w:val="single" w:sz="4" w:space="0" w:color="auto"/>
            </w:tcBorders>
            <w:vAlign w:val="center"/>
          </w:tcPr>
          <w:p w14:paraId="2CA6DC39"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hAnsi="Times New Roman" w:cs="Times New Roman"/>
                <w:sz w:val="14"/>
                <w:szCs w:val="14"/>
                <w:lang w:val="en-GB"/>
              </w:rPr>
              <w:t>&lt;0.001</w:t>
            </w:r>
          </w:p>
        </w:tc>
        <w:tc>
          <w:tcPr>
            <w:tcW w:w="417" w:type="pct"/>
            <w:tcBorders>
              <w:left w:val="single" w:sz="4" w:space="0" w:color="auto"/>
            </w:tcBorders>
            <w:noWrap/>
            <w:vAlign w:val="center"/>
          </w:tcPr>
          <w:p w14:paraId="185B3DD1"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hAnsi="Times New Roman" w:cs="Times New Roman"/>
                <w:sz w:val="14"/>
                <w:szCs w:val="14"/>
                <w:shd w:val="clear" w:color="auto" w:fill="FFFFFF"/>
                <w:lang w:val="en-GB"/>
              </w:rPr>
              <w:t>3.12±</w:t>
            </w:r>
            <w:r w:rsidRPr="00FF31D4">
              <w:rPr>
                <w:rFonts w:ascii="Times New Roman" w:eastAsia="Times New Roman" w:hAnsi="Times New Roman" w:cs="Times New Roman"/>
                <w:sz w:val="14"/>
                <w:szCs w:val="14"/>
                <w:lang w:val="en-GB" w:eastAsia="es-ES"/>
              </w:rPr>
              <w:t>1.23</w:t>
            </w:r>
          </w:p>
        </w:tc>
        <w:tc>
          <w:tcPr>
            <w:tcW w:w="425" w:type="pct"/>
            <w:noWrap/>
            <w:vAlign w:val="center"/>
          </w:tcPr>
          <w:p w14:paraId="7F5F3CDC"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hAnsi="Times New Roman" w:cs="Times New Roman"/>
                <w:sz w:val="14"/>
                <w:szCs w:val="14"/>
                <w:shd w:val="clear" w:color="auto" w:fill="FFFFFF"/>
                <w:lang w:val="en-GB"/>
              </w:rPr>
              <w:t>2.08±</w:t>
            </w:r>
            <w:r w:rsidRPr="00FF31D4">
              <w:rPr>
                <w:rFonts w:ascii="Times New Roman" w:eastAsia="Times New Roman" w:hAnsi="Times New Roman" w:cs="Times New Roman"/>
                <w:sz w:val="14"/>
                <w:szCs w:val="14"/>
                <w:lang w:val="en-GB" w:eastAsia="es-ES"/>
              </w:rPr>
              <w:t>1.01</w:t>
            </w:r>
          </w:p>
        </w:tc>
        <w:tc>
          <w:tcPr>
            <w:tcW w:w="280" w:type="pct"/>
            <w:tcBorders>
              <w:right w:val="single" w:sz="4" w:space="0" w:color="auto"/>
            </w:tcBorders>
            <w:vAlign w:val="center"/>
          </w:tcPr>
          <w:p w14:paraId="03AEBE22" w14:textId="77777777" w:rsidR="00AC7436" w:rsidRPr="00FF31D4" w:rsidRDefault="00005B7F">
            <w:pPr>
              <w:spacing w:after="0" w:line="240" w:lineRule="auto"/>
              <w:jc w:val="center"/>
              <w:rPr>
                <w:rFonts w:ascii="Times New Roman" w:hAnsi="Times New Roman" w:cs="Times New Roman"/>
                <w:sz w:val="14"/>
                <w:szCs w:val="14"/>
                <w:lang w:val="en-GB"/>
              </w:rPr>
            </w:pPr>
            <w:r w:rsidRPr="00FF31D4">
              <w:rPr>
                <w:rFonts w:ascii="Times New Roman" w:hAnsi="Times New Roman" w:cs="Times New Roman"/>
                <w:sz w:val="14"/>
                <w:szCs w:val="14"/>
                <w:lang w:val="en-GB"/>
              </w:rPr>
              <w:t>&lt;0.001</w:t>
            </w:r>
          </w:p>
        </w:tc>
        <w:tc>
          <w:tcPr>
            <w:tcW w:w="417" w:type="pct"/>
            <w:tcBorders>
              <w:left w:val="single" w:sz="4" w:space="0" w:color="auto"/>
            </w:tcBorders>
            <w:noWrap/>
            <w:vAlign w:val="center"/>
          </w:tcPr>
          <w:p w14:paraId="61C0DBB7"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2.1</w:t>
            </w:r>
            <w:r w:rsidRPr="00FF31D4">
              <w:rPr>
                <w:rFonts w:ascii="Times New Roman" w:hAnsi="Times New Roman" w:cs="Times New Roman"/>
                <w:sz w:val="14"/>
                <w:szCs w:val="14"/>
                <w:shd w:val="clear" w:color="auto" w:fill="FFFFFF"/>
                <w:lang w:val="en-GB"/>
              </w:rPr>
              <w:t>±</w:t>
            </w:r>
            <w:r w:rsidRPr="00FF31D4">
              <w:rPr>
                <w:rFonts w:ascii="Times New Roman" w:eastAsia="Times New Roman" w:hAnsi="Times New Roman" w:cs="Times New Roman"/>
                <w:sz w:val="14"/>
                <w:szCs w:val="14"/>
                <w:lang w:val="en-GB" w:eastAsia="es-ES"/>
              </w:rPr>
              <w:t>0.78</w:t>
            </w:r>
          </w:p>
        </w:tc>
        <w:tc>
          <w:tcPr>
            <w:tcW w:w="425" w:type="pct"/>
            <w:vAlign w:val="center"/>
          </w:tcPr>
          <w:p w14:paraId="3EB9F29E" w14:textId="77777777" w:rsidR="00AC7436" w:rsidRPr="00FF31D4" w:rsidRDefault="00005B7F">
            <w:pPr>
              <w:spacing w:after="0" w:line="240" w:lineRule="auto"/>
              <w:jc w:val="center"/>
              <w:rPr>
                <w:rFonts w:ascii="Times New Roman" w:hAnsi="Times New Roman" w:cs="Times New Roman"/>
                <w:sz w:val="14"/>
                <w:szCs w:val="14"/>
                <w:lang w:val="en-GB"/>
              </w:rPr>
            </w:pPr>
            <w:r w:rsidRPr="00FF31D4">
              <w:rPr>
                <w:rFonts w:ascii="Times New Roman" w:eastAsia="Times New Roman" w:hAnsi="Times New Roman" w:cs="Times New Roman"/>
                <w:sz w:val="14"/>
                <w:szCs w:val="14"/>
                <w:lang w:val="en-GB" w:eastAsia="es-ES"/>
              </w:rPr>
              <w:t>1.56</w:t>
            </w:r>
            <w:r w:rsidRPr="00FF31D4">
              <w:rPr>
                <w:rFonts w:ascii="Times New Roman" w:hAnsi="Times New Roman" w:cs="Times New Roman"/>
                <w:sz w:val="14"/>
                <w:szCs w:val="14"/>
                <w:shd w:val="clear" w:color="auto" w:fill="FFFFFF"/>
                <w:lang w:val="en-GB"/>
              </w:rPr>
              <w:t>±</w:t>
            </w:r>
            <w:r w:rsidRPr="00FF31D4">
              <w:rPr>
                <w:rFonts w:ascii="Times New Roman" w:eastAsia="Times New Roman" w:hAnsi="Times New Roman" w:cs="Times New Roman"/>
                <w:sz w:val="14"/>
                <w:szCs w:val="14"/>
                <w:lang w:val="en-GB" w:eastAsia="es-ES"/>
              </w:rPr>
              <w:t>0.69</w:t>
            </w:r>
          </w:p>
        </w:tc>
        <w:tc>
          <w:tcPr>
            <w:tcW w:w="280" w:type="pct"/>
            <w:vAlign w:val="center"/>
          </w:tcPr>
          <w:p w14:paraId="7E9D69E4" w14:textId="77777777" w:rsidR="00AC7436" w:rsidRPr="00FF31D4" w:rsidRDefault="00005B7F">
            <w:pPr>
              <w:spacing w:after="0" w:line="240" w:lineRule="auto"/>
              <w:jc w:val="center"/>
              <w:rPr>
                <w:rFonts w:ascii="Times New Roman" w:hAnsi="Times New Roman" w:cs="Times New Roman"/>
                <w:sz w:val="14"/>
                <w:szCs w:val="14"/>
                <w:lang w:val="en-GB"/>
              </w:rPr>
            </w:pPr>
            <w:r w:rsidRPr="00FF31D4">
              <w:rPr>
                <w:rFonts w:ascii="Times New Roman" w:hAnsi="Times New Roman" w:cs="Times New Roman"/>
                <w:sz w:val="14"/>
                <w:szCs w:val="14"/>
                <w:lang w:val="en-GB"/>
              </w:rPr>
              <w:t>&lt;0.001</w:t>
            </w:r>
          </w:p>
        </w:tc>
      </w:tr>
      <w:tr w:rsidR="00FF31D4" w:rsidRPr="00FF31D4" w14:paraId="3A74358F" w14:textId="77777777">
        <w:trPr>
          <w:trHeight w:val="340"/>
        </w:trPr>
        <w:tc>
          <w:tcPr>
            <w:tcW w:w="1633" w:type="pct"/>
            <w:noWrap/>
            <w:vAlign w:val="center"/>
          </w:tcPr>
          <w:p w14:paraId="729AF57B" w14:textId="77777777" w:rsidR="00AC7436" w:rsidRPr="00FF31D4" w:rsidRDefault="00005B7F">
            <w:pPr>
              <w:spacing w:after="0" w:line="240" w:lineRule="auto"/>
              <w:ind w:left="67" w:firstLine="45"/>
              <w:jc w:val="both"/>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Lunchtime activity</w:t>
            </w:r>
          </w:p>
        </w:tc>
        <w:tc>
          <w:tcPr>
            <w:tcW w:w="417" w:type="pct"/>
            <w:noWrap/>
            <w:vAlign w:val="center"/>
          </w:tcPr>
          <w:p w14:paraId="3DC865FF"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1.63</w:t>
            </w:r>
            <w:r w:rsidRPr="00FF31D4">
              <w:rPr>
                <w:rFonts w:ascii="Times New Roman" w:hAnsi="Times New Roman" w:cs="Times New Roman"/>
                <w:sz w:val="14"/>
                <w:szCs w:val="14"/>
                <w:shd w:val="clear" w:color="auto" w:fill="FFFFFF"/>
                <w:lang w:val="en-GB"/>
              </w:rPr>
              <w:t>±</w:t>
            </w:r>
            <w:r w:rsidRPr="00FF31D4">
              <w:rPr>
                <w:rFonts w:ascii="Times New Roman" w:eastAsia="Times New Roman" w:hAnsi="Times New Roman" w:cs="Times New Roman"/>
                <w:sz w:val="14"/>
                <w:szCs w:val="14"/>
                <w:lang w:val="en-GB" w:eastAsia="es-ES"/>
              </w:rPr>
              <w:t>0.95</w:t>
            </w:r>
          </w:p>
        </w:tc>
        <w:tc>
          <w:tcPr>
            <w:tcW w:w="425" w:type="pct"/>
            <w:noWrap/>
            <w:vAlign w:val="center"/>
          </w:tcPr>
          <w:p w14:paraId="4BFDBA48"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1.36</w:t>
            </w:r>
            <w:r w:rsidRPr="00FF31D4">
              <w:rPr>
                <w:rFonts w:ascii="Times New Roman" w:hAnsi="Times New Roman" w:cs="Times New Roman"/>
                <w:sz w:val="14"/>
                <w:szCs w:val="14"/>
                <w:shd w:val="clear" w:color="auto" w:fill="FFFFFF"/>
                <w:lang w:val="en-GB"/>
              </w:rPr>
              <w:t>±</w:t>
            </w:r>
            <w:r w:rsidRPr="00FF31D4">
              <w:rPr>
                <w:rFonts w:ascii="Times New Roman" w:eastAsia="Times New Roman" w:hAnsi="Times New Roman" w:cs="Times New Roman"/>
                <w:sz w:val="14"/>
                <w:szCs w:val="14"/>
                <w:lang w:val="en-GB" w:eastAsia="es-ES"/>
              </w:rPr>
              <w:t>0.67</w:t>
            </w:r>
          </w:p>
        </w:tc>
        <w:tc>
          <w:tcPr>
            <w:tcW w:w="280" w:type="pct"/>
            <w:tcBorders>
              <w:right w:val="single" w:sz="4" w:space="0" w:color="auto"/>
            </w:tcBorders>
            <w:vAlign w:val="center"/>
          </w:tcPr>
          <w:p w14:paraId="5FE04368"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hAnsi="Times New Roman" w:cs="Times New Roman"/>
                <w:sz w:val="14"/>
                <w:szCs w:val="14"/>
                <w:lang w:val="en-GB"/>
              </w:rPr>
              <w:t>&lt;0.001</w:t>
            </w:r>
          </w:p>
        </w:tc>
        <w:tc>
          <w:tcPr>
            <w:tcW w:w="417" w:type="pct"/>
            <w:tcBorders>
              <w:left w:val="single" w:sz="4" w:space="0" w:color="auto"/>
            </w:tcBorders>
            <w:noWrap/>
            <w:vAlign w:val="center"/>
          </w:tcPr>
          <w:p w14:paraId="3986D229"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1.72</w:t>
            </w:r>
            <w:r w:rsidRPr="00FF31D4">
              <w:rPr>
                <w:rFonts w:ascii="Times New Roman" w:hAnsi="Times New Roman" w:cs="Times New Roman"/>
                <w:sz w:val="14"/>
                <w:szCs w:val="14"/>
                <w:shd w:val="clear" w:color="auto" w:fill="FFFFFF"/>
                <w:lang w:val="en-GB"/>
              </w:rPr>
              <w:t>±</w:t>
            </w:r>
            <w:r w:rsidRPr="00FF31D4">
              <w:rPr>
                <w:rFonts w:ascii="Times New Roman" w:eastAsia="Times New Roman" w:hAnsi="Times New Roman" w:cs="Times New Roman"/>
                <w:sz w:val="14"/>
                <w:szCs w:val="14"/>
                <w:lang w:val="en-GB" w:eastAsia="es-ES"/>
              </w:rPr>
              <w:t>0.99</w:t>
            </w:r>
          </w:p>
        </w:tc>
        <w:tc>
          <w:tcPr>
            <w:tcW w:w="425" w:type="pct"/>
            <w:noWrap/>
            <w:vAlign w:val="center"/>
          </w:tcPr>
          <w:p w14:paraId="04393F85"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1.37</w:t>
            </w:r>
            <w:r w:rsidRPr="00FF31D4">
              <w:rPr>
                <w:rFonts w:ascii="Times New Roman" w:hAnsi="Times New Roman" w:cs="Times New Roman"/>
                <w:sz w:val="14"/>
                <w:szCs w:val="14"/>
                <w:shd w:val="clear" w:color="auto" w:fill="FFFFFF"/>
                <w:lang w:val="en-GB"/>
              </w:rPr>
              <w:t>±</w:t>
            </w:r>
            <w:r w:rsidRPr="00FF31D4">
              <w:rPr>
                <w:rFonts w:ascii="Times New Roman" w:eastAsia="Times New Roman" w:hAnsi="Times New Roman" w:cs="Times New Roman"/>
                <w:sz w:val="14"/>
                <w:szCs w:val="14"/>
                <w:lang w:val="en-GB" w:eastAsia="es-ES"/>
              </w:rPr>
              <w:t>0.74</w:t>
            </w:r>
          </w:p>
        </w:tc>
        <w:tc>
          <w:tcPr>
            <w:tcW w:w="280" w:type="pct"/>
            <w:tcBorders>
              <w:right w:val="single" w:sz="4" w:space="0" w:color="auto"/>
            </w:tcBorders>
            <w:vAlign w:val="center"/>
          </w:tcPr>
          <w:p w14:paraId="234695E1" w14:textId="77777777" w:rsidR="00AC7436" w:rsidRPr="00FF31D4" w:rsidRDefault="00005B7F">
            <w:pPr>
              <w:spacing w:after="0" w:line="240" w:lineRule="auto"/>
              <w:jc w:val="center"/>
              <w:rPr>
                <w:rFonts w:ascii="Times New Roman" w:hAnsi="Times New Roman" w:cs="Times New Roman"/>
                <w:sz w:val="14"/>
                <w:szCs w:val="14"/>
                <w:lang w:val="en-GB"/>
              </w:rPr>
            </w:pPr>
            <w:r w:rsidRPr="00FF31D4">
              <w:rPr>
                <w:rFonts w:ascii="Times New Roman" w:hAnsi="Times New Roman" w:cs="Times New Roman"/>
                <w:sz w:val="14"/>
                <w:szCs w:val="14"/>
                <w:lang w:val="en-GB"/>
              </w:rPr>
              <w:t>&lt;0.001</w:t>
            </w:r>
          </w:p>
        </w:tc>
        <w:tc>
          <w:tcPr>
            <w:tcW w:w="417" w:type="pct"/>
            <w:tcBorders>
              <w:left w:val="single" w:sz="4" w:space="0" w:color="auto"/>
            </w:tcBorders>
            <w:noWrap/>
            <w:vAlign w:val="center"/>
          </w:tcPr>
          <w:p w14:paraId="65F093EE"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1.52</w:t>
            </w:r>
            <w:r w:rsidRPr="00FF31D4">
              <w:rPr>
                <w:rFonts w:ascii="Times New Roman" w:hAnsi="Times New Roman" w:cs="Times New Roman"/>
                <w:sz w:val="14"/>
                <w:szCs w:val="14"/>
                <w:shd w:val="clear" w:color="auto" w:fill="FFFFFF"/>
                <w:lang w:val="en-GB"/>
              </w:rPr>
              <w:t>±</w:t>
            </w:r>
            <w:r w:rsidRPr="00FF31D4">
              <w:rPr>
                <w:rFonts w:ascii="Times New Roman" w:eastAsia="Times New Roman" w:hAnsi="Times New Roman" w:cs="Times New Roman"/>
                <w:sz w:val="14"/>
                <w:szCs w:val="14"/>
                <w:lang w:val="en-GB" w:eastAsia="es-ES"/>
              </w:rPr>
              <w:t>0.89</w:t>
            </w:r>
          </w:p>
        </w:tc>
        <w:tc>
          <w:tcPr>
            <w:tcW w:w="425" w:type="pct"/>
            <w:vAlign w:val="center"/>
          </w:tcPr>
          <w:p w14:paraId="5967FE55" w14:textId="77777777" w:rsidR="00AC7436" w:rsidRPr="00FF31D4" w:rsidRDefault="00005B7F">
            <w:pPr>
              <w:spacing w:after="0" w:line="240" w:lineRule="auto"/>
              <w:jc w:val="center"/>
              <w:rPr>
                <w:rFonts w:ascii="Times New Roman" w:hAnsi="Times New Roman" w:cs="Times New Roman"/>
                <w:sz w:val="14"/>
                <w:szCs w:val="14"/>
                <w:lang w:val="en-GB"/>
              </w:rPr>
            </w:pPr>
            <w:r w:rsidRPr="00FF31D4">
              <w:rPr>
                <w:rFonts w:ascii="Times New Roman" w:eastAsia="Times New Roman" w:hAnsi="Times New Roman" w:cs="Times New Roman"/>
                <w:sz w:val="14"/>
                <w:szCs w:val="14"/>
                <w:lang w:val="en-GB" w:eastAsia="es-ES"/>
              </w:rPr>
              <w:t>1.35</w:t>
            </w:r>
            <w:r w:rsidRPr="00FF31D4">
              <w:rPr>
                <w:rFonts w:ascii="Times New Roman" w:hAnsi="Times New Roman" w:cs="Times New Roman"/>
                <w:sz w:val="14"/>
                <w:szCs w:val="14"/>
                <w:shd w:val="clear" w:color="auto" w:fill="FFFFFF"/>
                <w:lang w:val="en-GB"/>
              </w:rPr>
              <w:t>±</w:t>
            </w:r>
            <w:r w:rsidRPr="00FF31D4">
              <w:rPr>
                <w:rFonts w:ascii="Times New Roman" w:eastAsia="Times New Roman" w:hAnsi="Times New Roman" w:cs="Times New Roman"/>
                <w:sz w:val="14"/>
                <w:szCs w:val="14"/>
                <w:lang w:val="en-GB" w:eastAsia="es-ES"/>
              </w:rPr>
              <w:t>0.58</w:t>
            </w:r>
          </w:p>
        </w:tc>
        <w:tc>
          <w:tcPr>
            <w:tcW w:w="280" w:type="pct"/>
            <w:vAlign w:val="center"/>
          </w:tcPr>
          <w:p w14:paraId="0594D9CD" w14:textId="77777777" w:rsidR="00AC7436" w:rsidRPr="00FF31D4" w:rsidRDefault="00005B7F">
            <w:pPr>
              <w:spacing w:after="0" w:line="240" w:lineRule="auto"/>
              <w:jc w:val="center"/>
              <w:rPr>
                <w:rFonts w:ascii="Times New Roman" w:hAnsi="Times New Roman" w:cs="Times New Roman"/>
                <w:sz w:val="14"/>
                <w:szCs w:val="14"/>
                <w:lang w:val="en-GB"/>
              </w:rPr>
            </w:pPr>
            <w:r w:rsidRPr="00FF31D4">
              <w:rPr>
                <w:rFonts w:ascii="Times New Roman" w:hAnsi="Times New Roman" w:cs="Times New Roman"/>
                <w:sz w:val="14"/>
                <w:szCs w:val="14"/>
                <w:lang w:val="en-GB"/>
              </w:rPr>
              <w:t>0.245</w:t>
            </w:r>
          </w:p>
        </w:tc>
      </w:tr>
      <w:tr w:rsidR="00FF31D4" w:rsidRPr="00FF31D4" w14:paraId="2672C740" w14:textId="77777777">
        <w:trPr>
          <w:trHeight w:val="340"/>
        </w:trPr>
        <w:tc>
          <w:tcPr>
            <w:tcW w:w="1633" w:type="pct"/>
            <w:noWrap/>
            <w:vAlign w:val="center"/>
          </w:tcPr>
          <w:p w14:paraId="17378F9C" w14:textId="77777777" w:rsidR="00AC7436" w:rsidRPr="00FF31D4" w:rsidRDefault="00005B7F">
            <w:pPr>
              <w:spacing w:after="0" w:line="240" w:lineRule="auto"/>
              <w:ind w:left="67" w:firstLine="45"/>
              <w:jc w:val="both"/>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After-school activity (14 - 18h)</w:t>
            </w:r>
          </w:p>
        </w:tc>
        <w:tc>
          <w:tcPr>
            <w:tcW w:w="417" w:type="pct"/>
            <w:noWrap/>
            <w:vAlign w:val="center"/>
          </w:tcPr>
          <w:p w14:paraId="498D1349"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3.05</w:t>
            </w:r>
            <w:r w:rsidRPr="00FF31D4">
              <w:rPr>
                <w:rFonts w:ascii="Times New Roman" w:hAnsi="Times New Roman" w:cs="Times New Roman"/>
                <w:sz w:val="14"/>
                <w:szCs w:val="14"/>
                <w:shd w:val="clear" w:color="auto" w:fill="FFFFFF"/>
                <w:lang w:val="en-GB"/>
              </w:rPr>
              <w:t>±</w:t>
            </w:r>
            <w:r w:rsidRPr="00FF31D4">
              <w:rPr>
                <w:rFonts w:ascii="Times New Roman" w:eastAsia="Times New Roman" w:hAnsi="Times New Roman" w:cs="Times New Roman"/>
                <w:sz w:val="14"/>
                <w:szCs w:val="14"/>
                <w:lang w:val="en-GB" w:eastAsia="es-ES"/>
              </w:rPr>
              <w:t>1.16</w:t>
            </w:r>
          </w:p>
        </w:tc>
        <w:tc>
          <w:tcPr>
            <w:tcW w:w="425" w:type="pct"/>
            <w:noWrap/>
            <w:vAlign w:val="center"/>
          </w:tcPr>
          <w:p w14:paraId="4429B987"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2.39</w:t>
            </w:r>
            <w:r w:rsidRPr="00FF31D4">
              <w:rPr>
                <w:rFonts w:ascii="Times New Roman" w:hAnsi="Times New Roman" w:cs="Times New Roman"/>
                <w:sz w:val="14"/>
                <w:szCs w:val="14"/>
                <w:shd w:val="clear" w:color="auto" w:fill="FFFFFF"/>
                <w:lang w:val="en-GB"/>
              </w:rPr>
              <w:t>±</w:t>
            </w:r>
            <w:r w:rsidRPr="00FF31D4">
              <w:rPr>
                <w:rFonts w:ascii="Times New Roman" w:eastAsia="Times New Roman" w:hAnsi="Times New Roman" w:cs="Times New Roman"/>
                <w:sz w:val="14"/>
                <w:szCs w:val="14"/>
                <w:lang w:val="en-GB" w:eastAsia="es-ES"/>
              </w:rPr>
              <w:t>1.19</w:t>
            </w:r>
          </w:p>
        </w:tc>
        <w:tc>
          <w:tcPr>
            <w:tcW w:w="280" w:type="pct"/>
            <w:tcBorders>
              <w:right w:val="single" w:sz="4" w:space="0" w:color="auto"/>
            </w:tcBorders>
            <w:vAlign w:val="center"/>
          </w:tcPr>
          <w:p w14:paraId="0FBF3A00"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hAnsi="Times New Roman" w:cs="Times New Roman"/>
                <w:sz w:val="14"/>
                <w:szCs w:val="14"/>
                <w:lang w:val="en-GB"/>
              </w:rPr>
              <w:t>&lt;0.001</w:t>
            </w:r>
          </w:p>
        </w:tc>
        <w:tc>
          <w:tcPr>
            <w:tcW w:w="417" w:type="pct"/>
            <w:tcBorders>
              <w:left w:val="single" w:sz="4" w:space="0" w:color="auto"/>
            </w:tcBorders>
            <w:noWrap/>
            <w:vAlign w:val="center"/>
          </w:tcPr>
          <w:p w14:paraId="3620D031"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3.16</w:t>
            </w:r>
            <w:r w:rsidRPr="00FF31D4">
              <w:rPr>
                <w:rFonts w:ascii="Times New Roman" w:hAnsi="Times New Roman" w:cs="Times New Roman"/>
                <w:sz w:val="14"/>
                <w:szCs w:val="14"/>
                <w:shd w:val="clear" w:color="auto" w:fill="FFFFFF"/>
                <w:lang w:val="en-GB"/>
              </w:rPr>
              <w:t>±</w:t>
            </w:r>
            <w:r w:rsidRPr="00FF31D4">
              <w:rPr>
                <w:rFonts w:ascii="Times New Roman" w:eastAsia="Times New Roman" w:hAnsi="Times New Roman" w:cs="Times New Roman"/>
                <w:sz w:val="14"/>
                <w:szCs w:val="14"/>
                <w:lang w:val="en-GB" w:eastAsia="es-ES"/>
              </w:rPr>
              <w:t>1.19</w:t>
            </w:r>
          </w:p>
        </w:tc>
        <w:tc>
          <w:tcPr>
            <w:tcW w:w="425" w:type="pct"/>
            <w:noWrap/>
            <w:vAlign w:val="center"/>
          </w:tcPr>
          <w:p w14:paraId="23DFB880"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2.48</w:t>
            </w:r>
            <w:r w:rsidRPr="00FF31D4">
              <w:rPr>
                <w:rFonts w:ascii="Times New Roman" w:hAnsi="Times New Roman" w:cs="Times New Roman"/>
                <w:sz w:val="14"/>
                <w:szCs w:val="14"/>
                <w:shd w:val="clear" w:color="auto" w:fill="FFFFFF"/>
                <w:lang w:val="en-GB"/>
              </w:rPr>
              <w:t>±</w:t>
            </w:r>
            <w:r w:rsidRPr="00FF31D4">
              <w:rPr>
                <w:rFonts w:ascii="Times New Roman" w:eastAsia="Times New Roman" w:hAnsi="Times New Roman" w:cs="Times New Roman"/>
                <w:sz w:val="14"/>
                <w:szCs w:val="14"/>
                <w:lang w:val="en-GB" w:eastAsia="es-ES"/>
              </w:rPr>
              <w:t>1.26</w:t>
            </w:r>
          </w:p>
        </w:tc>
        <w:tc>
          <w:tcPr>
            <w:tcW w:w="280" w:type="pct"/>
            <w:tcBorders>
              <w:right w:val="single" w:sz="4" w:space="0" w:color="auto"/>
            </w:tcBorders>
            <w:vAlign w:val="center"/>
          </w:tcPr>
          <w:p w14:paraId="58B5D207" w14:textId="77777777" w:rsidR="00AC7436" w:rsidRPr="00FF31D4" w:rsidRDefault="00005B7F">
            <w:pPr>
              <w:spacing w:after="0" w:line="240" w:lineRule="auto"/>
              <w:jc w:val="center"/>
              <w:rPr>
                <w:rFonts w:ascii="Times New Roman" w:hAnsi="Times New Roman" w:cs="Times New Roman"/>
                <w:sz w:val="14"/>
                <w:szCs w:val="14"/>
                <w:lang w:val="en-GB"/>
              </w:rPr>
            </w:pPr>
            <w:r w:rsidRPr="00FF31D4">
              <w:rPr>
                <w:rFonts w:ascii="Times New Roman" w:hAnsi="Times New Roman" w:cs="Times New Roman"/>
                <w:sz w:val="14"/>
                <w:szCs w:val="14"/>
                <w:lang w:val="en-GB"/>
              </w:rPr>
              <w:t>&lt;0.001</w:t>
            </w:r>
          </w:p>
        </w:tc>
        <w:tc>
          <w:tcPr>
            <w:tcW w:w="417" w:type="pct"/>
            <w:tcBorders>
              <w:left w:val="single" w:sz="4" w:space="0" w:color="auto"/>
            </w:tcBorders>
            <w:noWrap/>
            <w:vAlign w:val="center"/>
          </w:tcPr>
          <w:p w14:paraId="524733FA"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2.95</w:t>
            </w:r>
            <w:r w:rsidRPr="00FF31D4">
              <w:rPr>
                <w:rFonts w:ascii="Times New Roman" w:hAnsi="Times New Roman" w:cs="Times New Roman"/>
                <w:sz w:val="14"/>
                <w:szCs w:val="14"/>
                <w:shd w:val="clear" w:color="auto" w:fill="FFFFFF"/>
                <w:lang w:val="en-GB"/>
              </w:rPr>
              <w:t>±</w:t>
            </w:r>
            <w:r w:rsidRPr="00FF31D4">
              <w:rPr>
                <w:rFonts w:ascii="Times New Roman" w:eastAsia="Times New Roman" w:hAnsi="Times New Roman" w:cs="Times New Roman"/>
                <w:sz w:val="14"/>
                <w:szCs w:val="14"/>
                <w:lang w:val="en-GB" w:eastAsia="es-ES"/>
              </w:rPr>
              <w:t>1.13</w:t>
            </w:r>
          </w:p>
        </w:tc>
        <w:tc>
          <w:tcPr>
            <w:tcW w:w="425" w:type="pct"/>
            <w:vAlign w:val="center"/>
          </w:tcPr>
          <w:p w14:paraId="10A1EB12" w14:textId="77777777" w:rsidR="00AC7436" w:rsidRPr="00FF31D4" w:rsidRDefault="00005B7F">
            <w:pPr>
              <w:spacing w:after="0" w:line="240" w:lineRule="auto"/>
              <w:jc w:val="center"/>
              <w:rPr>
                <w:rFonts w:ascii="Times New Roman" w:hAnsi="Times New Roman" w:cs="Times New Roman"/>
                <w:sz w:val="14"/>
                <w:szCs w:val="14"/>
                <w:lang w:val="en-GB"/>
              </w:rPr>
            </w:pPr>
            <w:r w:rsidRPr="00FF31D4">
              <w:rPr>
                <w:rFonts w:ascii="Times New Roman" w:eastAsia="Times New Roman" w:hAnsi="Times New Roman" w:cs="Times New Roman"/>
                <w:sz w:val="14"/>
                <w:szCs w:val="14"/>
                <w:lang w:val="en-GB" w:eastAsia="es-ES"/>
              </w:rPr>
              <w:t>2.32</w:t>
            </w:r>
            <w:r w:rsidRPr="00FF31D4">
              <w:rPr>
                <w:rFonts w:ascii="Times New Roman" w:hAnsi="Times New Roman" w:cs="Times New Roman"/>
                <w:sz w:val="14"/>
                <w:szCs w:val="14"/>
                <w:shd w:val="clear" w:color="auto" w:fill="FFFFFF"/>
                <w:lang w:val="en-GB"/>
              </w:rPr>
              <w:t>±</w:t>
            </w:r>
            <w:r w:rsidRPr="00FF31D4">
              <w:rPr>
                <w:rFonts w:ascii="Times New Roman" w:eastAsia="Times New Roman" w:hAnsi="Times New Roman" w:cs="Times New Roman"/>
                <w:sz w:val="14"/>
                <w:szCs w:val="14"/>
                <w:lang w:val="en-GB" w:eastAsia="es-ES"/>
              </w:rPr>
              <w:t>1.15</w:t>
            </w:r>
          </w:p>
        </w:tc>
        <w:tc>
          <w:tcPr>
            <w:tcW w:w="280" w:type="pct"/>
            <w:vAlign w:val="center"/>
          </w:tcPr>
          <w:p w14:paraId="2EC3BE93" w14:textId="77777777" w:rsidR="00AC7436" w:rsidRPr="00FF31D4" w:rsidRDefault="00005B7F">
            <w:pPr>
              <w:spacing w:after="0" w:line="240" w:lineRule="auto"/>
              <w:jc w:val="center"/>
              <w:rPr>
                <w:rFonts w:ascii="Times New Roman" w:hAnsi="Times New Roman" w:cs="Times New Roman"/>
                <w:sz w:val="14"/>
                <w:szCs w:val="14"/>
                <w:lang w:val="en-GB"/>
              </w:rPr>
            </w:pPr>
            <w:r w:rsidRPr="00FF31D4">
              <w:rPr>
                <w:rFonts w:ascii="Times New Roman" w:hAnsi="Times New Roman" w:cs="Times New Roman"/>
                <w:sz w:val="14"/>
                <w:szCs w:val="14"/>
                <w:lang w:val="en-GB"/>
              </w:rPr>
              <w:t>&lt;0.001</w:t>
            </w:r>
          </w:p>
        </w:tc>
      </w:tr>
      <w:tr w:rsidR="00FF31D4" w:rsidRPr="00FF31D4" w14:paraId="0B984594" w14:textId="77777777">
        <w:trPr>
          <w:trHeight w:val="340"/>
        </w:trPr>
        <w:tc>
          <w:tcPr>
            <w:tcW w:w="1633" w:type="pct"/>
            <w:noWrap/>
            <w:vAlign w:val="center"/>
          </w:tcPr>
          <w:p w14:paraId="1C529E6C" w14:textId="77777777" w:rsidR="00AC7436" w:rsidRPr="00FF31D4" w:rsidRDefault="00005B7F">
            <w:pPr>
              <w:spacing w:after="0" w:line="240" w:lineRule="auto"/>
              <w:ind w:left="67" w:firstLine="45"/>
              <w:jc w:val="both"/>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Evening activity (18 - 22h)</w:t>
            </w:r>
          </w:p>
        </w:tc>
        <w:tc>
          <w:tcPr>
            <w:tcW w:w="417" w:type="pct"/>
            <w:noWrap/>
            <w:vAlign w:val="center"/>
          </w:tcPr>
          <w:p w14:paraId="2894433E"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3.00</w:t>
            </w:r>
            <w:r w:rsidRPr="00FF31D4">
              <w:rPr>
                <w:rFonts w:ascii="Times New Roman" w:hAnsi="Times New Roman" w:cs="Times New Roman"/>
                <w:sz w:val="14"/>
                <w:szCs w:val="14"/>
                <w:shd w:val="clear" w:color="auto" w:fill="FFFFFF"/>
                <w:lang w:val="en-GB"/>
              </w:rPr>
              <w:t>±</w:t>
            </w:r>
            <w:r w:rsidRPr="00FF31D4">
              <w:rPr>
                <w:rFonts w:ascii="Times New Roman" w:eastAsia="Times New Roman" w:hAnsi="Times New Roman" w:cs="Times New Roman"/>
                <w:sz w:val="14"/>
                <w:szCs w:val="14"/>
                <w:lang w:val="en-GB" w:eastAsia="es-ES"/>
              </w:rPr>
              <w:t>1.13</w:t>
            </w:r>
          </w:p>
        </w:tc>
        <w:tc>
          <w:tcPr>
            <w:tcW w:w="425" w:type="pct"/>
            <w:noWrap/>
            <w:vAlign w:val="center"/>
          </w:tcPr>
          <w:p w14:paraId="5AE4693A"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2.93</w:t>
            </w:r>
            <w:r w:rsidRPr="00FF31D4">
              <w:rPr>
                <w:rFonts w:ascii="Times New Roman" w:hAnsi="Times New Roman" w:cs="Times New Roman"/>
                <w:sz w:val="14"/>
                <w:szCs w:val="14"/>
                <w:shd w:val="clear" w:color="auto" w:fill="FFFFFF"/>
                <w:lang w:val="en-GB"/>
              </w:rPr>
              <w:t>±</w:t>
            </w:r>
            <w:r w:rsidRPr="00FF31D4">
              <w:rPr>
                <w:rFonts w:ascii="Times New Roman" w:eastAsia="Times New Roman" w:hAnsi="Times New Roman" w:cs="Times New Roman"/>
                <w:sz w:val="14"/>
                <w:szCs w:val="14"/>
                <w:lang w:val="en-GB" w:eastAsia="es-ES"/>
              </w:rPr>
              <w:t>1.26</w:t>
            </w:r>
          </w:p>
        </w:tc>
        <w:tc>
          <w:tcPr>
            <w:tcW w:w="280" w:type="pct"/>
            <w:tcBorders>
              <w:right w:val="single" w:sz="4" w:space="0" w:color="auto"/>
            </w:tcBorders>
            <w:vAlign w:val="center"/>
          </w:tcPr>
          <w:p w14:paraId="07A5CFC2"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0.600</w:t>
            </w:r>
          </w:p>
        </w:tc>
        <w:tc>
          <w:tcPr>
            <w:tcW w:w="417" w:type="pct"/>
            <w:tcBorders>
              <w:left w:val="single" w:sz="4" w:space="0" w:color="auto"/>
            </w:tcBorders>
            <w:noWrap/>
            <w:vAlign w:val="center"/>
          </w:tcPr>
          <w:p w14:paraId="7F1FF859"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3.07</w:t>
            </w:r>
            <w:r w:rsidRPr="00FF31D4">
              <w:rPr>
                <w:rFonts w:ascii="Times New Roman" w:hAnsi="Times New Roman" w:cs="Times New Roman"/>
                <w:sz w:val="14"/>
                <w:szCs w:val="14"/>
                <w:shd w:val="clear" w:color="auto" w:fill="FFFFFF"/>
                <w:lang w:val="en-GB"/>
              </w:rPr>
              <w:t>±</w:t>
            </w:r>
            <w:r w:rsidRPr="00FF31D4">
              <w:rPr>
                <w:rFonts w:ascii="Times New Roman" w:eastAsia="Times New Roman" w:hAnsi="Times New Roman" w:cs="Times New Roman"/>
                <w:sz w:val="14"/>
                <w:szCs w:val="14"/>
                <w:lang w:val="en-GB" w:eastAsia="es-ES"/>
              </w:rPr>
              <w:t>1.15</w:t>
            </w:r>
          </w:p>
        </w:tc>
        <w:tc>
          <w:tcPr>
            <w:tcW w:w="425" w:type="pct"/>
            <w:noWrap/>
            <w:vAlign w:val="center"/>
          </w:tcPr>
          <w:p w14:paraId="08877B5A"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3.23</w:t>
            </w:r>
            <w:r w:rsidRPr="00FF31D4">
              <w:rPr>
                <w:rFonts w:ascii="Times New Roman" w:hAnsi="Times New Roman" w:cs="Times New Roman"/>
                <w:sz w:val="14"/>
                <w:szCs w:val="14"/>
                <w:shd w:val="clear" w:color="auto" w:fill="FFFFFF"/>
                <w:lang w:val="en-GB"/>
              </w:rPr>
              <w:t>±</w:t>
            </w:r>
            <w:r w:rsidRPr="00FF31D4">
              <w:rPr>
                <w:rFonts w:ascii="Times New Roman" w:eastAsia="Times New Roman" w:hAnsi="Times New Roman" w:cs="Times New Roman"/>
                <w:sz w:val="14"/>
                <w:szCs w:val="14"/>
                <w:lang w:val="en-GB" w:eastAsia="es-ES"/>
              </w:rPr>
              <w:t>1.25</w:t>
            </w:r>
          </w:p>
        </w:tc>
        <w:tc>
          <w:tcPr>
            <w:tcW w:w="280" w:type="pct"/>
            <w:tcBorders>
              <w:right w:val="single" w:sz="4" w:space="0" w:color="auto"/>
            </w:tcBorders>
            <w:vAlign w:val="center"/>
          </w:tcPr>
          <w:p w14:paraId="5093D97A"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0.127</w:t>
            </w:r>
          </w:p>
        </w:tc>
        <w:tc>
          <w:tcPr>
            <w:tcW w:w="417" w:type="pct"/>
            <w:tcBorders>
              <w:left w:val="single" w:sz="4" w:space="0" w:color="auto"/>
            </w:tcBorders>
            <w:noWrap/>
            <w:vAlign w:val="center"/>
          </w:tcPr>
          <w:p w14:paraId="530AF67C"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2.92</w:t>
            </w:r>
            <w:r w:rsidRPr="00FF31D4">
              <w:rPr>
                <w:rFonts w:ascii="Times New Roman" w:hAnsi="Times New Roman" w:cs="Times New Roman"/>
                <w:sz w:val="14"/>
                <w:szCs w:val="14"/>
                <w:shd w:val="clear" w:color="auto" w:fill="FFFFFF"/>
                <w:lang w:val="en-GB"/>
              </w:rPr>
              <w:t>±</w:t>
            </w:r>
            <w:r w:rsidRPr="00FF31D4">
              <w:rPr>
                <w:rFonts w:ascii="Times New Roman" w:eastAsia="Times New Roman" w:hAnsi="Times New Roman" w:cs="Times New Roman"/>
                <w:sz w:val="14"/>
                <w:szCs w:val="14"/>
                <w:lang w:val="en-GB" w:eastAsia="es-ES"/>
              </w:rPr>
              <w:t>1.11</w:t>
            </w:r>
          </w:p>
        </w:tc>
        <w:tc>
          <w:tcPr>
            <w:tcW w:w="425" w:type="pct"/>
            <w:vAlign w:val="center"/>
          </w:tcPr>
          <w:p w14:paraId="669ED2BA"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2.65</w:t>
            </w:r>
            <w:r w:rsidRPr="00FF31D4">
              <w:rPr>
                <w:rFonts w:ascii="Times New Roman" w:hAnsi="Times New Roman" w:cs="Times New Roman"/>
                <w:sz w:val="14"/>
                <w:szCs w:val="14"/>
                <w:shd w:val="clear" w:color="auto" w:fill="FFFFFF"/>
                <w:lang w:val="en-GB"/>
              </w:rPr>
              <w:t>±</w:t>
            </w:r>
            <w:r w:rsidRPr="00FF31D4">
              <w:rPr>
                <w:rFonts w:ascii="Times New Roman" w:eastAsia="Times New Roman" w:hAnsi="Times New Roman" w:cs="Times New Roman"/>
                <w:sz w:val="14"/>
                <w:szCs w:val="14"/>
                <w:lang w:val="en-GB" w:eastAsia="es-ES"/>
              </w:rPr>
              <w:t>1.22</w:t>
            </w:r>
          </w:p>
        </w:tc>
        <w:tc>
          <w:tcPr>
            <w:tcW w:w="280" w:type="pct"/>
            <w:vAlign w:val="center"/>
          </w:tcPr>
          <w:p w14:paraId="7607280C"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0.034</w:t>
            </w:r>
          </w:p>
        </w:tc>
      </w:tr>
      <w:tr w:rsidR="00FF31D4" w:rsidRPr="00FF31D4" w14:paraId="6C70594F" w14:textId="77777777">
        <w:trPr>
          <w:trHeight w:val="340"/>
        </w:trPr>
        <w:tc>
          <w:tcPr>
            <w:tcW w:w="1633" w:type="pct"/>
            <w:noWrap/>
            <w:vAlign w:val="center"/>
          </w:tcPr>
          <w:p w14:paraId="6BB203EC" w14:textId="77777777" w:rsidR="00AC7436" w:rsidRPr="00FF31D4" w:rsidRDefault="00005B7F">
            <w:pPr>
              <w:spacing w:after="0" w:line="240" w:lineRule="auto"/>
              <w:ind w:left="67" w:firstLine="45"/>
              <w:jc w:val="both"/>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Weekend-activity</w:t>
            </w:r>
          </w:p>
        </w:tc>
        <w:tc>
          <w:tcPr>
            <w:tcW w:w="417" w:type="pct"/>
            <w:noWrap/>
            <w:vAlign w:val="center"/>
          </w:tcPr>
          <w:p w14:paraId="274D67AD"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2.91</w:t>
            </w:r>
            <w:r w:rsidRPr="00FF31D4">
              <w:rPr>
                <w:rFonts w:ascii="Times New Roman" w:hAnsi="Times New Roman" w:cs="Times New Roman"/>
                <w:sz w:val="14"/>
                <w:szCs w:val="14"/>
                <w:shd w:val="clear" w:color="auto" w:fill="FFFFFF"/>
                <w:lang w:val="en-GB"/>
              </w:rPr>
              <w:t>±</w:t>
            </w:r>
            <w:r w:rsidRPr="00FF31D4">
              <w:rPr>
                <w:rFonts w:ascii="Times New Roman" w:eastAsia="Times New Roman" w:hAnsi="Times New Roman" w:cs="Times New Roman"/>
                <w:sz w:val="14"/>
                <w:szCs w:val="14"/>
                <w:lang w:val="en-GB" w:eastAsia="es-ES"/>
              </w:rPr>
              <w:t>1.06</w:t>
            </w:r>
          </w:p>
        </w:tc>
        <w:tc>
          <w:tcPr>
            <w:tcW w:w="425" w:type="pct"/>
            <w:noWrap/>
            <w:vAlign w:val="center"/>
          </w:tcPr>
          <w:p w14:paraId="5F8F23E6"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2.40</w:t>
            </w:r>
            <w:r w:rsidRPr="00FF31D4">
              <w:rPr>
                <w:rFonts w:ascii="Times New Roman" w:hAnsi="Times New Roman" w:cs="Times New Roman"/>
                <w:sz w:val="14"/>
                <w:szCs w:val="14"/>
                <w:shd w:val="clear" w:color="auto" w:fill="FFFFFF"/>
                <w:lang w:val="en-GB"/>
              </w:rPr>
              <w:t>±</w:t>
            </w:r>
            <w:r w:rsidRPr="00FF31D4">
              <w:rPr>
                <w:rFonts w:ascii="Times New Roman" w:eastAsia="Times New Roman" w:hAnsi="Times New Roman" w:cs="Times New Roman"/>
                <w:sz w:val="14"/>
                <w:szCs w:val="14"/>
                <w:lang w:val="en-GB" w:eastAsia="es-ES"/>
              </w:rPr>
              <w:t>0.97</w:t>
            </w:r>
          </w:p>
        </w:tc>
        <w:tc>
          <w:tcPr>
            <w:tcW w:w="280" w:type="pct"/>
            <w:tcBorders>
              <w:right w:val="single" w:sz="4" w:space="0" w:color="auto"/>
            </w:tcBorders>
            <w:vAlign w:val="center"/>
          </w:tcPr>
          <w:p w14:paraId="11611669"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hAnsi="Times New Roman" w:cs="Times New Roman"/>
                <w:sz w:val="14"/>
                <w:szCs w:val="14"/>
                <w:lang w:val="en-GB"/>
              </w:rPr>
              <w:t>&lt;0.001</w:t>
            </w:r>
          </w:p>
        </w:tc>
        <w:tc>
          <w:tcPr>
            <w:tcW w:w="417" w:type="pct"/>
            <w:tcBorders>
              <w:left w:val="single" w:sz="4" w:space="0" w:color="auto"/>
            </w:tcBorders>
            <w:noWrap/>
            <w:vAlign w:val="center"/>
          </w:tcPr>
          <w:p w14:paraId="54A5642E"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hAnsi="Times New Roman" w:cs="Times New Roman"/>
                <w:sz w:val="14"/>
                <w:szCs w:val="14"/>
                <w:shd w:val="clear" w:color="auto" w:fill="FFFFFF"/>
                <w:lang w:val="en-GB"/>
              </w:rPr>
              <w:t>3.02±</w:t>
            </w:r>
            <w:r w:rsidRPr="00FF31D4">
              <w:rPr>
                <w:rFonts w:ascii="Times New Roman" w:eastAsia="Times New Roman" w:hAnsi="Times New Roman" w:cs="Times New Roman"/>
                <w:sz w:val="14"/>
                <w:szCs w:val="14"/>
                <w:lang w:val="en-GB" w:eastAsia="es-ES"/>
              </w:rPr>
              <w:t>1.07</w:t>
            </w:r>
          </w:p>
        </w:tc>
        <w:tc>
          <w:tcPr>
            <w:tcW w:w="425" w:type="pct"/>
            <w:noWrap/>
            <w:vAlign w:val="center"/>
          </w:tcPr>
          <w:p w14:paraId="68010EBA"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2.7</w:t>
            </w:r>
            <w:r w:rsidRPr="00FF31D4">
              <w:rPr>
                <w:rFonts w:ascii="Times New Roman" w:hAnsi="Times New Roman" w:cs="Times New Roman"/>
                <w:sz w:val="14"/>
                <w:szCs w:val="14"/>
                <w:shd w:val="clear" w:color="auto" w:fill="FFFFFF"/>
                <w:lang w:val="en-GB"/>
              </w:rPr>
              <w:t>±0</w:t>
            </w:r>
            <w:r w:rsidRPr="00FF31D4">
              <w:rPr>
                <w:rFonts w:ascii="Times New Roman" w:eastAsia="Times New Roman" w:hAnsi="Times New Roman" w:cs="Times New Roman"/>
                <w:sz w:val="14"/>
                <w:szCs w:val="14"/>
                <w:lang w:val="en-GB" w:eastAsia="es-ES"/>
              </w:rPr>
              <w:t>.99</w:t>
            </w:r>
          </w:p>
        </w:tc>
        <w:tc>
          <w:tcPr>
            <w:tcW w:w="280" w:type="pct"/>
            <w:tcBorders>
              <w:right w:val="single" w:sz="4" w:space="0" w:color="auto"/>
            </w:tcBorders>
            <w:vAlign w:val="center"/>
          </w:tcPr>
          <w:p w14:paraId="0B9EE37E" w14:textId="77777777" w:rsidR="00AC7436" w:rsidRPr="00FF31D4" w:rsidRDefault="00005B7F">
            <w:pPr>
              <w:spacing w:after="0" w:line="240" w:lineRule="auto"/>
              <w:jc w:val="center"/>
              <w:rPr>
                <w:rFonts w:ascii="Times New Roman" w:hAnsi="Times New Roman" w:cs="Times New Roman"/>
                <w:sz w:val="14"/>
                <w:szCs w:val="14"/>
                <w:lang w:val="en-GB"/>
              </w:rPr>
            </w:pPr>
            <w:r w:rsidRPr="00FF31D4">
              <w:rPr>
                <w:rFonts w:ascii="Times New Roman" w:hAnsi="Times New Roman" w:cs="Times New Roman"/>
                <w:sz w:val="14"/>
                <w:szCs w:val="14"/>
                <w:lang w:val="en-GB"/>
              </w:rPr>
              <w:t>0.002</w:t>
            </w:r>
          </w:p>
        </w:tc>
        <w:tc>
          <w:tcPr>
            <w:tcW w:w="417" w:type="pct"/>
            <w:tcBorders>
              <w:left w:val="single" w:sz="4" w:space="0" w:color="auto"/>
            </w:tcBorders>
            <w:noWrap/>
            <w:vAlign w:val="center"/>
          </w:tcPr>
          <w:p w14:paraId="698A1E28"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2.79</w:t>
            </w:r>
            <w:r w:rsidRPr="00FF31D4">
              <w:rPr>
                <w:rFonts w:ascii="Times New Roman" w:hAnsi="Times New Roman" w:cs="Times New Roman"/>
                <w:sz w:val="14"/>
                <w:szCs w:val="14"/>
                <w:shd w:val="clear" w:color="auto" w:fill="FFFFFF"/>
                <w:lang w:val="en-GB"/>
              </w:rPr>
              <w:t>±</w:t>
            </w:r>
            <w:r w:rsidRPr="00FF31D4">
              <w:rPr>
                <w:rFonts w:ascii="Times New Roman" w:eastAsia="Times New Roman" w:hAnsi="Times New Roman" w:cs="Times New Roman"/>
                <w:sz w:val="14"/>
                <w:szCs w:val="14"/>
                <w:lang w:val="en-GB" w:eastAsia="es-ES"/>
              </w:rPr>
              <w:t>1.03</w:t>
            </w:r>
          </w:p>
        </w:tc>
        <w:tc>
          <w:tcPr>
            <w:tcW w:w="425" w:type="pct"/>
            <w:vAlign w:val="center"/>
          </w:tcPr>
          <w:p w14:paraId="72B3C603" w14:textId="77777777" w:rsidR="00AC7436" w:rsidRPr="00FF31D4" w:rsidRDefault="00005B7F">
            <w:pPr>
              <w:spacing w:after="0" w:line="240" w:lineRule="auto"/>
              <w:jc w:val="center"/>
              <w:rPr>
                <w:rFonts w:ascii="Times New Roman" w:hAnsi="Times New Roman" w:cs="Times New Roman"/>
                <w:sz w:val="14"/>
                <w:szCs w:val="14"/>
                <w:lang w:val="en-GB"/>
              </w:rPr>
            </w:pPr>
            <w:r w:rsidRPr="00FF31D4">
              <w:rPr>
                <w:rFonts w:ascii="Times New Roman" w:eastAsia="Times New Roman" w:hAnsi="Times New Roman" w:cs="Times New Roman"/>
                <w:sz w:val="14"/>
                <w:szCs w:val="14"/>
                <w:lang w:val="en-GB" w:eastAsia="es-ES"/>
              </w:rPr>
              <w:t>2.09</w:t>
            </w:r>
            <w:r w:rsidRPr="00FF31D4">
              <w:rPr>
                <w:rFonts w:ascii="Times New Roman" w:hAnsi="Times New Roman" w:cs="Times New Roman"/>
                <w:sz w:val="14"/>
                <w:szCs w:val="14"/>
                <w:shd w:val="clear" w:color="auto" w:fill="FFFFFF"/>
                <w:lang w:val="en-GB"/>
              </w:rPr>
              <w:t>±</w:t>
            </w:r>
            <w:r w:rsidRPr="00FF31D4">
              <w:rPr>
                <w:rFonts w:ascii="Times New Roman" w:eastAsia="Times New Roman" w:hAnsi="Times New Roman" w:cs="Times New Roman"/>
                <w:sz w:val="14"/>
                <w:szCs w:val="14"/>
                <w:lang w:val="en-GB" w:eastAsia="es-ES"/>
              </w:rPr>
              <w:t>0.88</w:t>
            </w:r>
          </w:p>
        </w:tc>
        <w:tc>
          <w:tcPr>
            <w:tcW w:w="280" w:type="pct"/>
            <w:vAlign w:val="center"/>
          </w:tcPr>
          <w:p w14:paraId="75C046FD" w14:textId="77777777" w:rsidR="00AC7436" w:rsidRPr="00FF31D4" w:rsidRDefault="00005B7F">
            <w:pPr>
              <w:spacing w:after="0" w:line="240" w:lineRule="auto"/>
              <w:jc w:val="center"/>
              <w:rPr>
                <w:rFonts w:ascii="Times New Roman" w:hAnsi="Times New Roman" w:cs="Times New Roman"/>
                <w:sz w:val="14"/>
                <w:szCs w:val="14"/>
                <w:lang w:val="en-GB"/>
              </w:rPr>
            </w:pPr>
            <w:r w:rsidRPr="00FF31D4">
              <w:rPr>
                <w:rFonts w:ascii="Times New Roman" w:hAnsi="Times New Roman" w:cs="Times New Roman"/>
                <w:sz w:val="14"/>
                <w:szCs w:val="14"/>
                <w:lang w:val="en-GB"/>
              </w:rPr>
              <w:t>&lt;0.001</w:t>
            </w:r>
          </w:p>
        </w:tc>
      </w:tr>
      <w:tr w:rsidR="00FF31D4" w:rsidRPr="00FF31D4" w14:paraId="22E96C58" w14:textId="77777777">
        <w:trPr>
          <w:trHeight w:val="340"/>
        </w:trPr>
        <w:tc>
          <w:tcPr>
            <w:tcW w:w="1633" w:type="pct"/>
            <w:noWrap/>
            <w:vAlign w:val="center"/>
          </w:tcPr>
          <w:p w14:paraId="2D1F2037" w14:textId="77777777" w:rsidR="00AC7436" w:rsidRPr="00FF31D4" w:rsidRDefault="00005B7F">
            <w:pPr>
              <w:spacing w:after="0" w:line="240" w:lineRule="auto"/>
              <w:ind w:left="67" w:firstLine="45"/>
              <w:jc w:val="both"/>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Activity frequency during the last 7 days</w:t>
            </w:r>
          </w:p>
        </w:tc>
        <w:tc>
          <w:tcPr>
            <w:tcW w:w="417" w:type="pct"/>
            <w:noWrap/>
            <w:vAlign w:val="center"/>
          </w:tcPr>
          <w:p w14:paraId="1E23A2D8"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2.76</w:t>
            </w:r>
            <w:r w:rsidRPr="00FF31D4">
              <w:rPr>
                <w:rFonts w:ascii="Times New Roman" w:hAnsi="Times New Roman" w:cs="Times New Roman"/>
                <w:sz w:val="14"/>
                <w:szCs w:val="14"/>
                <w:shd w:val="clear" w:color="auto" w:fill="FFFFFF"/>
                <w:lang w:val="en-GB"/>
              </w:rPr>
              <w:t>±</w:t>
            </w:r>
            <w:r w:rsidRPr="00FF31D4">
              <w:rPr>
                <w:rFonts w:ascii="Times New Roman" w:eastAsia="Times New Roman" w:hAnsi="Times New Roman" w:cs="Times New Roman"/>
                <w:sz w:val="14"/>
                <w:szCs w:val="14"/>
                <w:lang w:val="en-GB" w:eastAsia="es-ES"/>
              </w:rPr>
              <w:t>1.10</w:t>
            </w:r>
          </w:p>
        </w:tc>
        <w:tc>
          <w:tcPr>
            <w:tcW w:w="425" w:type="pct"/>
            <w:noWrap/>
            <w:vAlign w:val="center"/>
          </w:tcPr>
          <w:p w14:paraId="582AE92C"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2.56</w:t>
            </w:r>
            <w:r w:rsidRPr="00FF31D4">
              <w:rPr>
                <w:rFonts w:ascii="Times New Roman" w:hAnsi="Times New Roman" w:cs="Times New Roman"/>
                <w:sz w:val="14"/>
                <w:szCs w:val="14"/>
                <w:shd w:val="clear" w:color="auto" w:fill="FFFFFF"/>
                <w:lang w:val="en-GB"/>
              </w:rPr>
              <w:t>±</w:t>
            </w:r>
            <w:r w:rsidRPr="00FF31D4">
              <w:rPr>
                <w:rFonts w:ascii="Times New Roman" w:eastAsia="Times New Roman" w:hAnsi="Times New Roman" w:cs="Times New Roman"/>
                <w:sz w:val="14"/>
                <w:szCs w:val="14"/>
                <w:lang w:val="en-GB" w:eastAsia="es-ES"/>
              </w:rPr>
              <w:t>1.07</w:t>
            </w:r>
          </w:p>
        </w:tc>
        <w:tc>
          <w:tcPr>
            <w:tcW w:w="280" w:type="pct"/>
            <w:tcBorders>
              <w:right w:val="single" w:sz="4" w:space="0" w:color="auto"/>
            </w:tcBorders>
            <w:vAlign w:val="center"/>
          </w:tcPr>
          <w:p w14:paraId="01401960"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0.026</w:t>
            </w:r>
          </w:p>
        </w:tc>
        <w:tc>
          <w:tcPr>
            <w:tcW w:w="417" w:type="pct"/>
            <w:tcBorders>
              <w:left w:val="single" w:sz="4" w:space="0" w:color="auto"/>
            </w:tcBorders>
            <w:noWrap/>
            <w:vAlign w:val="center"/>
          </w:tcPr>
          <w:p w14:paraId="131A29EE"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2.91</w:t>
            </w:r>
            <w:r w:rsidRPr="00FF31D4">
              <w:rPr>
                <w:rFonts w:ascii="Times New Roman" w:hAnsi="Times New Roman" w:cs="Times New Roman"/>
                <w:sz w:val="14"/>
                <w:szCs w:val="14"/>
                <w:shd w:val="clear" w:color="auto" w:fill="FFFFFF"/>
                <w:lang w:val="en-GB"/>
              </w:rPr>
              <w:t>±</w:t>
            </w:r>
            <w:r w:rsidRPr="00FF31D4">
              <w:rPr>
                <w:rFonts w:ascii="Times New Roman" w:eastAsia="Times New Roman" w:hAnsi="Times New Roman" w:cs="Times New Roman"/>
                <w:sz w:val="14"/>
                <w:szCs w:val="14"/>
                <w:lang w:val="en-GB" w:eastAsia="es-ES"/>
              </w:rPr>
              <w:t>1.14</w:t>
            </w:r>
          </w:p>
        </w:tc>
        <w:tc>
          <w:tcPr>
            <w:tcW w:w="425" w:type="pct"/>
            <w:noWrap/>
            <w:vAlign w:val="center"/>
          </w:tcPr>
          <w:p w14:paraId="6DC74FD3"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2.9</w:t>
            </w:r>
            <w:r w:rsidRPr="00FF31D4">
              <w:rPr>
                <w:rFonts w:ascii="Times New Roman" w:hAnsi="Times New Roman" w:cs="Times New Roman"/>
                <w:sz w:val="14"/>
                <w:szCs w:val="14"/>
                <w:shd w:val="clear" w:color="auto" w:fill="FFFFFF"/>
                <w:lang w:val="en-GB"/>
              </w:rPr>
              <w:t>±</w:t>
            </w:r>
            <w:r w:rsidRPr="00FF31D4">
              <w:rPr>
                <w:rFonts w:ascii="Times New Roman" w:eastAsia="Times New Roman" w:hAnsi="Times New Roman" w:cs="Times New Roman"/>
                <w:sz w:val="14"/>
                <w:szCs w:val="14"/>
                <w:lang w:val="en-GB" w:eastAsia="es-ES"/>
              </w:rPr>
              <w:t>1.06</w:t>
            </w:r>
          </w:p>
        </w:tc>
        <w:tc>
          <w:tcPr>
            <w:tcW w:w="280" w:type="pct"/>
            <w:tcBorders>
              <w:right w:val="single" w:sz="4" w:space="0" w:color="auto"/>
            </w:tcBorders>
            <w:vAlign w:val="center"/>
          </w:tcPr>
          <w:p w14:paraId="124E381F"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0.955</w:t>
            </w:r>
          </w:p>
        </w:tc>
        <w:tc>
          <w:tcPr>
            <w:tcW w:w="417" w:type="pct"/>
            <w:tcBorders>
              <w:left w:val="single" w:sz="4" w:space="0" w:color="auto"/>
            </w:tcBorders>
            <w:noWrap/>
            <w:vAlign w:val="center"/>
          </w:tcPr>
          <w:p w14:paraId="5DCBACB1"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2.58</w:t>
            </w:r>
            <w:r w:rsidRPr="00FF31D4">
              <w:rPr>
                <w:rFonts w:ascii="Times New Roman" w:hAnsi="Times New Roman" w:cs="Times New Roman"/>
                <w:sz w:val="14"/>
                <w:szCs w:val="14"/>
                <w:shd w:val="clear" w:color="auto" w:fill="FFFFFF"/>
                <w:lang w:val="en-GB"/>
              </w:rPr>
              <w:t>±</w:t>
            </w:r>
            <w:r w:rsidRPr="00FF31D4">
              <w:rPr>
                <w:rFonts w:ascii="Times New Roman" w:eastAsia="Times New Roman" w:hAnsi="Times New Roman" w:cs="Times New Roman"/>
                <w:sz w:val="14"/>
                <w:szCs w:val="14"/>
                <w:lang w:val="en-GB" w:eastAsia="es-ES"/>
              </w:rPr>
              <w:t>1.04</w:t>
            </w:r>
          </w:p>
        </w:tc>
        <w:tc>
          <w:tcPr>
            <w:tcW w:w="425" w:type="pct"/>
            <w:vAlign w:val="center"/>
          </w:tcPr>
          <w:p w14:paraId="69ACDB50"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2.23</w:t>
            </w:r>
            <w:r w:rsidRPr="00FF31D4">
              <w:rPr>
                <w:rFonts w:ascii="Times New Roman" w:hAnsi="Times New Roman" w:cs="Times New Roman"/>
                <w:sz w:val="14"/>
                <w:szCs w:val="14"/>
                <w:shd w:val="clear" w:color="auto" w:fill="FFFFFF"/>
                <w:lang w:val="en-GB"/>
              </w:rPr>
              <w:t>±</w:t>
            </w:r>
            <w:r w:rsidRPr="00FF31D4">
              <w:rPr>
                <w:rFonts w:ascii="Times New Roman" w:eastAsia="Times New Roman" w:hAnsi="Times New Roman" w:cs="Times New Roman"/>
                <w:sz w:val="14"/>
                <w:szCs w:val="14"/>
                <w:lang w:val="en-GB" w:eastAsia="es-ES"/>
              </w:rPr>
              <w:t>0.98</w:t>
            </w:r>
          </w:p>
        </w:tc>
        <w:tc>
          <w:tcPr>
            <w:tcW w:w="280" w:type="pct"/>
            <w:vAlign w:val="center"/>
          </w:tcPr>
          <w:p w14:paraId="2766842D"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0.002</w:t>
            </w:r>
          </w:p>
        </w:tc>
      </w:tr>
      <w:tr w:rsidR="00FF31D4" w:rsidRPr="00FF31D4" w14:paraId="11F73A3C" w14:textId="77777777">
        <w:trPr>
          <w:trHeight w:val="340"/>
        </w:trPr>
        <w:tc>
          <w:tcPr>
            <w:tcW w:w="1633" w:type="pct"/>
            <w:noWrap/>
            <w:vAlign w:val="center"/>
          </w:tcPr>
          <w:p w14:paraId="6FEE3612" w14:textId="77777777" w:rsidR="00AC7436" w:rsidRPr="00FF31D4" w:rsidRDefault="00005B7F">
            <w:pPr>
              <w:spacing w:after="0" w:line="240" w:lineRule="auto"/>
              <w:ind w:left="67" w:firstLine="45"/>
              <w:jc w:val="both"/>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Daily activity frequency during the last week</w:t>
            </w:r>
          </w:p>
        </w:tc>
        <w:tc>
          <w:tcPr>
            <w:tcW w:w="417" w:type="pct"/>
            <w:noWrap/>
            <w:vAlign w:val="center"/>
          </w:tcPr>
          <w:p w14:paraId="209D4308"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3.13</w:t>
            </w:r>
            <w:r w:rsidRPr="00FF31D4">
              <w:rPr>
                <w:rFonts w:ascii="Times New Roman" w:hAnsi="Times New Roman" w:cs="Times New Roman"/>
                <w:sz w:val="14"/>
                <w:szCs w:val="14"/>
                <w:shd w:val="clear" w:color="auto" w:fill="FFFFFF"/>
                <w:lang w:val="en-GB"/>
              </w:rPr>
              <w:t>±</w:t>
            </w:r>
            <w:r w:rsidRPr="00FF31D4">
              <w:rPr>
                <w:rFonts w:ascii="Times New Roman" w:eastAsia="Times New Roman" w:hAnsi="Times New Roman" w:cs="Times New Roman"/>
                <w:sz w:val="14"/>
                <w:szCs w:val="14"/>
                <w:lang w:val="en-GB" w:eastAsia="es-ES"/>
              </w:rPr>
              <w:t>0.72</w:t>
            </w:r>
          </w:p>
        </w:tc>
        <w:tc>
          <w:tcPr>
            <w:tcW w:w="425" w:type="pct"/>
            <w:noWrap/>
            <w:vAlign w:val="center"/>
          </w:tcPr>
          <w:p w14:paraId="4C21525D"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2.77</w:t>
            </w:r>
            <w:r w:rsidRPr="00FF31D4">
              <w:rPr>
                <w:rFonts w:ascii="Times New Roman" w:hAnsi="Times New Roman" w:cs="Times New Roman"/>
                <w:sz w:val="14"/>
                <w:szCs w:val="14"/>
                <w:shd w:val="clear" w:color="auto" w:fill="FFFFFF"/>
                <w:lang w:val="en-GB"/>
              </w:rPr>
              <w:t>±</w:t>
            </w:r>
            <w:r w:rsidRPr="00FF31D4">
              <w:rPr>
                <w:rFonts w:ascii="Times New Roman" w:eastAsia="Times New Roman" w:hAnsi="Times New Roman" w:cs="Times New Roman"/>
                <w:sz w:val="14"/>
                <w:szCs w:val="14"/>
                <w:lang w:val="en-GB" w:eastAsia="es-ES"/>
              </w:rPr>
              <w:t>0.80</w:t>
            </w:r>
          </w:p>
        </w:tc>
        <w:tc>
          <w:tcPr>
            <w:tcW w:w="280" w:type="pct"/>
            <w:tcBorders>
              <w:right w:val="single" w:sz="4" w:space="0" w:color="auto"/>
            </w:tcBorders>
            <w:vAlign w:val="center"/>
          </w:tcPr>
          <w:p w14:paraId="35618610"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hAnsi="Times New Roman" w:cs="Times New Roman"/>
                <w:sz w:val="14"/>
                <w:szCs w:val="14"/>
                <w:lang w:val="en-GB"/>
              </w:rPr>
              <w:t>&lt;0.001</w:t>
            </w:r>
          </w:p>
        </w:tc>
        <w:tc>
          <w:tcPr>
            <w:tcW w:w="417" w:type="pct"/>
            <w:tcBorders>
              <w:left w:val="single" w:sz="4" w:space="0" w:color="auto"/>
            </w:tcBorders>
            <w:noWrap/>
            <w:vAlign w:val="center"/>
          </w:tcPr>
          <w:p w14:paraId="7960EA34"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3.24</w:t>
            </w:r>
            <w:r w:rsidRPr="00FF31D4">
              <w:rPr>
                <w:rFonts w:ascii="Times New Roman" w:hAnsi="Times New Roman" w:cs="Times New Roman"/>
                <w:sz w:val="14"/>
                <w:szCs w:val="14"/>
                <w:shd w:val="clear" w:color="auto" w:fill="FFFFFF"/>
                <w:lang w:val="en-GB"/>
              </w:rPr>
              <w:t>±</w:t>
            </w:r>
            <w:r w:rsidRPr="00FF31D4">
              <w:rPr>
                <w:rFonts w:ascii="Times New Roman" w:eastAsia="Times New Roman" w:hAnsi="Times New Roman" w:cs="Times New Roman"/>
                <w:sz w:val="14"/>
                <w:szCs w:val="14"/>
                <w:lang w:val="en-GB" w:eastAsia="es-ES"/>
              </w:rPr>
              <w:t>0.7</w:t>
            </w:r>
          </w:p>
        </w:tc>
        <w:tc>
          <w:tcPr>
            <w:tcW w:w="425" w:type="pct"/>
            <w:noWrap/>
            <w:vAlign w:val="center"/>
          </w:tcPr>
          <w:p w14:paraId="1605B74B"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3.03</w:t>
            </w:r>
            <w:r w:rsidRPr="00FF31D4">
              <w:rPr>
                <w:rFonts w:ascii="Times New Roman" w:hAnsi="Times New Roman" w:cs="Times New Roman"/>
                <w:sz w:val="14"/>
                <w:szCs w:val="14"/>
                <w:shd w:val="clear" w:color="auto" w:fill="FFFFFF"/>
                <w:lang w:val="en-GB"/>
              </w:rPr>
              <w:t>±</w:t>
            </w:r>
            <w:r w:rsidRPr="00FF31D4">
              <w:rPr>
                <w:rFonts w:ascii="Times New Roman" w:eastAsia="Times New Roman" w:hAnsi="Times New Roman" w:cs="Times New Roman"/>
                <w:sz w:val="14"/>
                <w:szCs w:val="14"/>
                <w:lang w:val="en-GB" w:eastAsia="es-ES"/>
              </w:rPr>
              <w:t>0.76</w:t>
            </w:r>
          </w:p>
        </w:tc>
        <w:tc>
          <w:tcPr>
            <w:tcW w:w="280" w:type="pct"/>
            <w:tcBorders>
              <w:right w:val="single" w:sz="4" w:space="0" w:color="auto"/>
            </w:tcBorders>
            <w:vAlign w:val="center"/>
          </w:tcPr>
          <w:p w14:paraId="74556906" w14:textId="77777777" w:rsidR="00AC7436" w:rsidRPr="00FF31D4" w:rsidRDefault="00005B7F">
            <w:pPr>
              <w:spacing w:after="0" w:line="240" w:lineRule="auto"/>
              <w:jc w:val="center"/>
              <w:rPr>
                <w:rFonts w:ascii="Times New Roman" w:hAnsi="Times New Roman" w:cs="Times New Roman"/>
                <w:sz w:val="14"/>
                <w:szCs w:val="14"/>
                <w:lang w:val="en-GB"/>
              </w:rPr>
            </w:pPr>
            <w:r w:rsidRPr="00FF31D4">
              <w:rPr>
                <w:rFonts w:ascii="Times New Roman" w:hAnsi="Times New Roman" w:cs="Times New Roman"/>
                <w:sz w:val="14"/>
                <w:szCs w:val="14"/>
                <w:lang w:val="en-GB"/>
              </w:rPr>
              <w:t>0.005</w:t>
            </w:r>
          </w:p>
        </w:tc>
        <w:tc>
          <w:tcPr>
            <w:tcW w:w="417" w:type="pct"/>
            <w:tcBorders>
              <w:left w:val="single" w:sz="4" w:space="0" w:color="auto"/>
            </w:tcBorders>
            <w:noWrap/>
            <w:vAlign w:val="center"/>
          </w:tcPr>
          <w:p w14:paraId="0BAAEE8A"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3.01</w:t>
            </w:r>
            <w:r w:rsidRPr="00FF31D4">
              <w:rPr>
                <w:rFonts w:ascii="Times New Roman" w:hAnsi="Times New Roman" w:cs="Times New Roman"/>
                <w:sz w:val="14"/>
                <w:szCs w:val="14"/>
                <w:shd w:val="clear" w:color="auto" w:fill="FFFFFF"/>
                <w:lang w:val="en-GB"/>
              </w:rPr>
              <w:t>±</w:t>
            </w:r>
            <w:r w:rsidRPr="00FF31D4">
              <w:rPr>
                <w:rFonts w:ascii="Times New Roman" w:eastAsia="Times New Roman" w:hAnsi="Times New Roman" w:cs="Times New Roman"/>
                <w:sz w:val="14"/>
                <w:szCs w:val="14"/>
                <w:lang w:val="en-GB" w:eastAsia="es-ES"/>
              </w:rPr>
              <w:t>0.73</w:t>
            </w:r>
          </w:p>
        </w:tc>
        <w:tc>
          <w:tcPr>
            <w:tcW w:w="425" w:type="pct"/>
            <w:vAlign w:val="center"/>
          </w:tcPr>
          <w:p w14:paraId="378DD237" w14:textId="77777777" w:rsidR="00AC7436" w:rsidRPr="00FF31D4" w:rsidRDefault="00005B7F">
            <w:pPr>
              <w:spacing w:after="0" w:line="240" w:lineRule="auto"/>
              <w:jc w:val="center"/>
              <w:rPr>
                <w:rFonts w:ascii="Times New Roman" w:hAnsi="Times New Roman" w:cs="Times New Roman"/>
                <w:sz w:val="14"/>
                <w:szCs w:val="14"/>
                <w:lang w:val="en-GB"/>
              </w:rPr>
            </w:pPr>
            <w:r w:rsidRPr="00FF31D4">
              <w:rPr>
                <w:rFonts w:ascii="Times New Roman" w:eastAsia="Times New Roman" w:hAnsi="Times New Roman" w:cs="Times New Roman"/>
                <w:sz w:val="14"/>
                <w:szCs w:val="14"/>
                <w:lang w:val="en-GB" w:eastAsia="es-ES"/>
              </w:rPr>
              <w:t>2.51</w:t>
            </w:r>
            <w:r w:rsidRPr="00FF31D4">
              <w:rPr>
                <w:rFonts w:ascii="Times New Roman" w:hAnsi="Times New Roman" w:cs="Times New Roman"/>
                <w:sz w:val="14"/>
                <w:szCs w:val="14"/>
                <w:shd w:val="clear" w:color="auto" w:fill="FFFFFF"/>
                <w:lang w:val="en-GB"/>
              </w:rPr>
              <w:t>±</w:t>
            </w:r>
            <w:r w:rsidRPr="00FF31D4">
              <w:rPr>
                <w:rFonts w:ascii="Times New Roman" w:eastAsia="Times New Roman" w:hAnsi="Times New Roman" w:cs="Times New Roman"/>
                <w:sz w:val="14"/>
                <w:szCs w:val="14"/>
                <w:lang w:val="en-GB" w:eastAsia="es-ES"/>
              </w:rPr>
              <w:t>0.75</w:t>
            </w:r>
          </w:p>
        </w:tc>
        <w:tc>
          <w:tcPr>
            <w:tcW w:w="280" w:type="pct"/>
            <w:vAlign w:val="center"/>
          </w:tcPr>
          <w:p w14:paraId="56C656A7" w14:textId="77777777" w:rsidR="00AC7436" w:rsidRPr="00FF31D4" w:rsidRDefault="00005B7F">
            <w:pPr>
              <w:spacing w:after="0" w:line="240" w:lineRule="auto"/>
              <w:jc w:val="center"/>
              <w:rPr>
                <w:rFonts w:ascii="Times New Roman" w:hAnsi="Times New Roman" w:cs="Times New Roman"/>
                <w:sz w:val="14"/>
                <w:szCs w:val="14"/>
                <w:lang w:val="en-GB"/>
              </w:rPr>
            </w:pPr>
            <w:r w:rsidRPr="00FF31D4">
              <w:rPr>
                <w:rFonts w:ascii="Times New Roman" w:hAnsi="Times New Roman" w:cs="Times New Roman"/>
                <w:sz w:val="14"/>
                <w:szCs w:val="14"/>
                <w:lang w:val="en-GB"/>
              </w:rPr>
              <w:t>&lt;0.001</w:t>
            </w:r>
          </w:p>
        </w:tc>
      </w:tr>
      <w:tr w:rsidR="00FF31D4" w:rsidRPr="00FF31D4" w14:paraId="382DC988" w14:textId="77777777">
        <w:trPr>
          <w:trHeight w:val="340"/>
        </w:trPr>
        <w:tc>
          <w:tcPr>
            <w:tcW w:w="1633" w:type="pct"/>
            <w:noWrap/>
            <w:vAlign w:val="center"/>
          </w:tcPr>
          <w:p w14:paraId="5481C30C" w14:textId="77777777" w:rsidR="00AC7436" w:rsidRPr="00FF31D4" w:rsidRDefault="00005B7F">
            <w:pPr>
              <w:spacing w:after="0" w:line="240" w:lineRule="auto"/>
              <w:jc w:val="both"/>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VO</w:t>
            </w:r>
            <w:r w:rsidRPr="00FF31D4">
              <w:rPr>
                <w:rFonts w:ascii="Times New Roman" w:eastAsia="Times New Roman" w:hAnsi="Times New Roman" w:cs="Times New Roman"/>
                <w:sz w:val="14"/>
                <w:szCs w:val="14"/>
                <w:vertAlign w:val="subscript"/>
                <w:lang w:val="en-GB" w:eastAsia="es-ES"/>
              </w:rPr>
              <w:t>2</w:t>
            </w:r>
            <w:r w:rsidRPr="00FF31D4">
              <w:rPr>
                <w:rFonts w:ascii="Times New Roman" w:eastAsia="Times New Roman" w:hAnsi="Times New Roman" w:cs="Times New Roman"/>
                <w:sz w:val="14"/>
                <w:szCs w:val="14"/>
                <w:lang w:val="en-GB" w:eastAsia="es-ES"/>
              </w:rPr>
              <w:t>max</w:t>
            </w:r>
          </w:p>
        </w:tc>
        <w:tc>
          <w:tcPr>
            <w:tcW w:w="417" w:type="pct"/>
            <w:noWrap/>
            <w:vAlign w:val="center"/>
          </w:tcPr>
          <w:p w14:paraId="1124867E"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44.48</w:t>
            </w:r>
            <w:r w:rsidRPr="00FF31D4">
              <w:rPr>
                <w:rFonts w:ascii="Times New Roman" w:hAnsi="Times New Roman" w:cs="Times New Roman"/>
                <w:sz w:val="14"/>
                <w:szCs w:val="14"/>
                <w:shd w:val="clear" w:color="auto" w:fill="FFFFFF"/>
                <w:lang w:val="en-GB"/>
              </w:rPr>
              <w:t>±</w:t>
            </w:r>
            <w:r w:rsidRPr="00FF31D4">
              <w:rPr>
                <w:rFonts w:ascii="Times New Roman" w:eastAsia="Times New Roman" w:hAnsi="Times New Roman" w:cs="Times New Roman"/>
                <w:sz w:val="14"/>
                <w:szCs w:val="14"/>
                <w:lang w:val="en-GB" w:eastAsia="es-ES"/>
              </w:rPr>
              <w:t>5.62</w:t>
            </w:r>
          </w:p>
        </w:tc>
        <w:tc>
          <w:tcPr>
            <w:tcW w:w="425" w:type="pct"/>
            <w:noWrap/>
            <w:vAlign w:val="center"/>
          </w:tcPr>
          <w:p w14:paraId="41484F2A"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42.53</w:t>
            </w:r>
            <w:r w:rsidRPr="00FF31D4">
              <w:rPr>
                <w:rFonts w:ascii="Times New Roman" w:hAnsi="Times New Roman" w:cs="Times New Roman"/>
                <w:sz w:val="14"/>
                <w:szCs w:val="14"/>
                <w:shd w:val="clear" w:color="auto" w:fill="FFFFFF"/>
                <w:lang w:val="en-GB"/>
              </w:rPr>
              <w:t>±</w:t>
            </w:r>
            <w:r w:rsidRPr="00FF31D4">
              <w:rPr>
                <w:rFonts w:ascii="Times New Roman" w:eastAsia="Times New Roman" w:hAnsi="Times New Roman" w:cs="Times New Roman"/>
                <w:sz w:val="14"/>
                <w:szCs w:val="14"/>
                <w:lang w:val="en-GB" w:eastAsia="es-ES"/>
              </w:rPr>
              <w:t>7.83</w:t>
            </w:r>
          </w:p>
        </w:tc>
        <w:tc>
          <w:tcPr>
            <w:tcW w:w="280" w:type="pct"/>
            <w:tcBorders>
              <w:right w:val="single" w:sz="4" w:space="0" w:color="auto"/>
            </w:tcBorders>
            <w:vAlign w:val="center"/>
          </w:tcPr>
          <w:p w14:paraId="0E11CB5D"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hAnsi="Times New Roman" w:cs="Times New Roman"/>
                <w:sz w:val="14"/>
                <w:szCs w:val="14"/>
                <w:lang w:val="en-GB"/>
              </w:rPr>
              <w:t>&lt;0.001</w:t>
            </w:r>
          </w:p>
        </w:tc>
        <w:tc>
          <w:tcPr>
            <w:tcW w:w="417" w:type="pct"/>
            <w:tcBorders>
              <w:left w:val="single" w:sz="4" w:space="0" w:color="auto"/>
              <w:bottom w:val="nil"/>
            </w:tcBorders>
            <w:noWrap/>
            <w:vAlign w:val="center"/>
          </w:tcPr>
          <w:p w14:paraId="5BB35EBD"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46.92</w:t>
            </w:r>
            <w:r w:rsidRPr="00FF31D4">
              <w:rPr>
                <w:rFonts w:ascii="Times New Roman" w:hAnsi="Times New Roman" w:cs="Times New Roman"/>
                <w:sz w:val="14"/>
                <w:szCs w:val="14"/>
                <w:shd w:val="clear" w:color="auto" w:fill="FFFFFF"/>
                <w:lang w:val="en-GB"/>
              </w:rPr>
              <w:t>±</w:t>
            </w:r>
            <w:r w:rsidRPr="00FF31D4">
              <w:rPr>
                <w:rFonts w:ascii="Times New Roman" w:eastAsia="Times New Roman" w:hAnsi="Times New Roman" w:cs="Times New Roman"/>
                <w:sz w:val="14"/>
                <w:szCs w:val="14"/>
                <w:lang w:val="en-GB" w:eastAsia="es-ES"/>
              </w:rPr>
              <w:t>5.73</w:t>
            </w:r>
          </w:p>
        </w:tc>
        <w:tc>
          <w:tcPr>
            <w:tcW w:w="425" w:type="pct"/>
            <w:tcBorders>
              <w:bottom w:val="nil"/>
            </w:tcBorders>
            <w:noWrap/>
            <w:vAlign w:val="center"/>
          </w:tcPr>
          <w:p w14:paraId="0B465C18"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47.11</w:t>
            </w:r>
            <w:r w:rsidRPr="00FF31D4">
              <w:rPr>
                <w:rFonts w:ascii="Times New Roman" w:hAnsi="Times New Roman" w:cs="Times New Roman"/>
                <w:sz w:val="14"/>
                <w:szCs w:val="14"/>
                <w:shd w:val="clear" w:color="auto" w:fill="FFFFFF"/>
                <w:lang w:val="en-GB"/>
              </w:rPr>
              <w:t>±</w:t>
            </w:r>
            <w:r w:rsidRPr="00FF31D4">
              <w:rPr>
                <w:rFonts w:ascii="Times New Roman" w:eastAsia="Times New Roman" w:hAnsi="Times New Roman" w:cs="Times New Roman"/>
                <w:sz w:val="14"/>
                <w:szCs w:val="14"/>
                <w:lang w:val="en-GB" w:eastAsia="es-ES"/>
              </w:rPr>
              <w:t>7.15</w:t>
            </w:r>
          </w:p>
        </w:tc>
        <w:tc>
          <w:tcPr>
            <w:tcW w:w="280" w:type="pct"/>
            <w:tcBorders>
              <w:bottom w:val="nil"/>
              <w:right w:val="single" w:sz="4" w:space="0" w:color="auto"/>
            </w:tcBorders>
            <w:vAlign w:val="center"/>
          </w:tcPr>
          <w:p w14:paraId="2547B99F" w14:textId="77777777" w:rsidR="00AC7436" w:rsidRPr="00FF31D4" w:rsidRDefault="00005B7F">
            <w:pPr>
              <w:spacing w:after="0" w:line="240" w:lineRule="auto"/>
              <w:jc w:val="center"/>
              <w:rPr>
                <w:rFonts w:ascii="Times New Roman" w:hAnsi="Times New Roman" w:cs="Times New Roman"/>
                <w:sz w:val="14"/>
                <w:szCs w:val="14"/>
                <w:lang w:val="en-GB"/>
              </w:rPr>
            </w:pPr>
            <w:r w:rsidRPr="00FF31D4">
              <w:rPr>
                <w:rFonts w:ascii="Times New Roman" w:eastAsia="Times New Roman" w:hAnsi="Times New Roman" w:cs="Times New Roman"/>
                <w:sz w:val="14"/>
                <w:szCs w:val="14"/>
                <w:lang w:val="en-GB" w:eastAsia="es-ES"/>
              </w:rPr>
              <w:t>0.500</w:t>
            </w:r>
          </w:p>
        </w:tc>
        <w:tc>
          <w:tcPr>
            <w:tcW w:w="417" w:type="pct"/>
            <w:tcBorders>
              <w:left w:val="single" w:sz="4" w:space="0" w:color="auto"/>
            </w:tcBorders>
            <w:noWrap/>
            <w:vAlign w:val="center"/>
          </w:tcPr>
          <w:p w14:paraId="4BA8C561"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41.95</w:t>
            </w:r>
            <w:r w:rsidRPr="00FF31D4">
              <w:rPr>
                <w:rFonts w:ascii="Times New Roman" w:hAnsi="Times New Roman" w:cs="Times New Roman"/>
                <w:sz w:val="14"/>
                <w:szCs w:val="14"/>
                <w:shd w:val="clear" w:color="auto" w:fill="FFFFFF"/>
                <w:lang w:val="en-GB"/>
              </w:rPr>
              <w:t>±</w:t>
            </w:r>
            <w:r w:rsidRPr="00FF31D4">
              <w:rPr>
                <w:rFonts w:ascii="Times New Roman" w:eastAsia="Times New Roman" w:hAnsi="Times New Roman" w:cs="Times New Roman"/>
                <w:sz w:val="14"/>
                <w:szCs w:val="14"/>
                <w:lang w:val="en-GB" w:eastAsia="es-ES"/>
              </w:rPr>
              <w:t>4.23</w:t>
            </w:r>
          </w:p>
        </w:tc>
        <w:tc>
          <w:tcPr>
            <w:tcW w:w="425" w:type="pct"/>
            <w:vAlign w:val="center"/>
          </w:tcPr>
          <w:p w14:paraId="24A8F20E" w14:textId="77777777" w:rsidR="00AC7436" w:rsidRPr="00FF31D4" w:rsidRDefault="00005B7F">
            <w:pPr>
              <w:spacing w:after="0" w:line="240" w:lineRule="auto"/>
              <w:jc w:val="center"/>
              <w:rPr>
                <w:rFonts w:ascii="Times New Roman" w:hAnsi="Times New Roman" w:cs="Times New Roman"/>
                <w:sz w:val="14"/>
                <w:szCs w:val="14"/>
                <w:lang w:val="en-GB"/>
              </w:rPr>
            </w:pPr>
            <w:r w:rsidRPr="00FF31D4">
              <w:rPr>
                <w:rFonts w:ascii="Times New Roman" w:eastAsia="Times New Roman" w:hAnsi="Times New Roman" w:cs="Times New Roman"/>
                <w:sz w:val="14"/>
                <w:szCs w:val="14"/>
                <w:lang w:val="en-GB" w:eastAsia="es-ES"/>
              </w:rPr>
              <w:t>37.80</w:t>
            </w:r>
            <w:r w:rsidRPr="00FF31D4">
              <w:rPr>
                <w:rFonts w:ascii="Times New Roman" w:hAnsi="Times New Roman" w:cs="Times New Roman"/>
                <w:sz w:val="14"/>
                <w:szCs w:val="14"/>
                <w:shd w:val="clear" w:color="auto" w:fill="FFFFFF"/>
                <w:lang w:val="en-GB"/>
              </w:rPr>
              <w:t>±</w:t>
            </w:r>
            <w:r w:rsidRPr="00FF31D4">
              <w:rPr>
                <w:rFonts w:ascii="Times New Roman" w:eastAsia="Times New Roman" w:hAnsi="Times New Roman" w:cs="Times New Roman"/>
                <w:sz w:val="14"/>
                <w:szCs w:val="14"/>
                <w:lang w:val="en-GB" w:eastAsia="es-ES"/>
              </w:rPr>
              <w:t>5.30</w:t>
            </w:r>
          </w:p>
        </w:tc>
        <w:tc>
          <w:tcPr>
            <w:tcW w:w="280" w:type="pct"/>
            <w:vAlign w:val="center"/>
          </w:tcPr>
          <w:p w14:paraId="005AD86F" w14:textId="77777777" w:rsidR="00AC7436" w:rsidRPr="00FF31D4" w:rsidRDefault="00005B7F">
            <w:pPr>
              <w:spacing w:after="0" w:line="240" w:lineRule="auto"/>
              <w:jc w:val="center"/>
              <w:rPr>
                <w:rFonts w:ascii="Times New Roman" w:hAnsi="Times New Roman" w:cs="Times New Roman"/>
                <w:sz w:val="14"/>
                <w:szCs w:val="14"/>
                <w:lang w:val="en-GB"/>
              </w:rPr>
            </w:pPr>
            <w:r w:rsidRPr="00FF31D4">
              <w:rPr>
                <w:rFonts w:ascii="Times New Roman" w:hAnsi="Times New Roman" w:cs="Times New Roman"/>
                <w:sz w:val="14"/>
                <w:szCs w:val="14"/>
                <w:lang w:val="en-GB"/>
              </w:rPr>
              <w:t>&lt;0.001</w:t>
            </w:r>
          </w:p>
        </w:tc>
      </w:tr>
      <w:tr w:rsidR="00FF31D4" w:rsidRPr="00FF31D4" w14:paraId="6DF73C27" w14:textId="77777777">
        <w:trPr>
          <w:trHeight w:val="340"/>
        </w:trPr>
        <w:tc>
          <w:tcPr>
            <w:tcW w:w="1633" w:type="pct"/>
            <w:noWrap/>
            <w:vAlign w:val="center"/>
          </w:tcPr>
          <w:p w14:paraId="4F992A84" w14:textId="77777777" w:rsidR="00AC7436" w:rsidRPr="00FF31D4" w:rsidRDefault="00005B7F">
            <w:pPr>
              <w:spacing w:after="0" w:line="240" w:lineRule="auto"/>
              <w:jc w:val="both"/>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Hours of nightly sleep</w:t>
            </w:r>
          </w:p>
        </w:tc>
        <w:tc>
          <w:tcPr>
            <w:tcW w:w="417" w:type="pct"/>
            <w:noWrap/>
            <w:vAlign w:val="center"/>
          </w:tcPr>
          <w:p w14:paraId="4200F673"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8.80</w:t>
            </w:r>
            <w:r w:rsidRPr="00FF31D4">
              <w:rPr>
                <w:rFonts w:ascii="Times New Roman" w:hAnsi="Times New Roman" w:cs="Times New Roman"/>
                <w:sz w:val="14"/>
                <w:szCs w:val="14"/>
                <w:shd w:val="clear" w:color="auto" w:fill="FFFFFF"/>
                <w:lang w:val="en-GB"/>
              </w:rPr>
              <w:t>±</w:t>
            </w:r>
            <w:r w:rsidRPr="00FF31D4">
              <w:rPr>
                <w:rFonts w:ascii="Times New Roman" w:eastAsia="Times New Roman" w:hAnsi="Times New Roman" w:cs="Times New Roman"/>
                <w:sz w:val="14"/>
                <w:szCs w:val="14"/>
                <w:lang w:val="en-GB" w:eastAsia="es-ES"/>
              </w:rPr>
              <w:t>0.77</w:t>
            </w:r>
          </w:p>
        </w:tc>
        <w:tc>
          <w:tcPr>
            <w:tcW w:w="425" w:type="pct"/>
            <w:noWrap/>
            <w:vAlign w:val="center"/>
          </w:tcPr>
          <w:p w14:paraId="39FB7437"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7.91</w:t>
            </w:r>
            <w:r w:rsidRPr="00FF31D4">
              <w:rPr>
                <w:rFonts w:ascii="Times New Roman" w:hAnsi="Times New Roman" w:cs="Times New Roman"/>
                <w:sz w:val="14"/>
                <w:szCs w:val="14"/>
                <w:shd w:val="clear" w:color="auto" w:fill="FFFFFF"/>
                <w:lang w:val="en-GB"/>
              </w:rPr>
              <w:t>±</w:t>
            </w:r>
            <w:r w:rsidRPr="00FF31D4">
              <w:rPr>
                <w:rFonts w:ascii="Times New Roman" w:eastAsia="Times New Roman" w:hAnsi="Times New Roman" w:cs="Times New Roman"/>
                <w:sz w:val="14"/>
                <w:szCs w:val="14"/>
                <w:lang w:val="en-GB" w:eastAsia="es-ES"/>
              </w:rPr>
              <w:t>0.83</w:t>
            </w:r>
          </w:p>
        </w:tc>
        <w:tc>
          <w:tcPr>
            <w:tcW w:w="280" w:type="pct"/>
            <w:tcBorders>
              <w:right w:val="single" w:sz="4" w:space="0" w:color="auto"/>
            </w:tcBorders>
            <w:vAlign w:val="center"/>
          </w:tcPr>
          <w:p w14:paraId="7EA64508"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hAnsi="Times New Roman" w:cs="Times New Roman"/>
                <w:sz w:val="14"/>
                <w:szCs w:val="14"/>
                <w:lang w:val="en-GB"/>
              </w:rPr>
              <w:t>&lt;0.001</w:t>
            </w:r>
          </w:p>
        </w:tc>
        <w:tc>
          <w:tcPr>
            <w:tcW w:w="417" w:type="pct"/>
            <w:tcBorders>
              <w:top w:val="nil"/>
              <w:left w:val="single" w:sz="4" w:space="0" w:color="auto"/>
              <w:bottom w:val="single" w:sz="4" w:space="0" w:color="auto"/>
            </w:tcBorders>
            <w:noWrap/>
            <w:vAlign w:val="center"/>
          </w:tcPr>
          <w:p w14:paraId="4BB3490E"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8.82</w:t>
            </w:r>
            <w:r w:rsidRPr="00FF31D4">
              <w:rPr>
                <w:rFonts w:ascii="Times New Roman" w:hAnsi="Times New Roman" w:cs="Times New Roman"/>
                <w:sz w:val="14"/>
                <w:szCs w:val="14"/>
                <w:shd w:val="clear" w:color="auto" w:fill="FFFFFF"/>
                <w:lang w:val="en-GB"/>
              </w:rPr>
              <w:t>±</w:t>
            </w:r>
            <w:r w:rsidRPr="00FF31D4">
              <w:rPr>
                <w:rFonts w:ascii="Times New Roman" w:eastAsia="Times New Roman" w:hAnsi="Times New Roman" w:cs="Times New Roman"/>
                <w:sz w:val="14"/>
                <w:szCs w:val="14"/>
                <w:lang w:val="en-GB" w:eastAsia="es-ES"/>
              </w:rPr>
              <w:t>0.83</w:t>
            </w:r>
          </w:p>
        </w:tc>
        <w:tc>
          <w:tcPr>
            <w:tcW w:w="425" w:type="pct"/>
            <w:tcBorders>
              <w:top w:val="nil"/>
              <w:bottom w:val="single" w:sz="4" w:space="0" w:color="auto"/>
            </w:tcBorders>
            <w:noWrap/>
            <w:vAlign w:val="center"/>
          </w:tcPr>
          <w:p w14:paraId="38066F62"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7.97</w:t>
            </w:r>
            <w:r w:rsidRPr="00FF31D4">
              <w:rPr>
                <w:rFonts w:ascii="Times New Roman" w:hAnsi="Times New Roman" w:cs="Times New Roman"/>
                <w:sz w:val="14"/>
                <w:szCs w:val="14"/>
                <w:shd w:val="clear" w:color="auto" w:fill="FFFFFF"/>
                <w:lang w:val="en-GB"/>
              </w:rPr>
              <w:t>±</w:t>
            </w:r>
            <w:r w:rsidRPr="00FF31D4">
              <w:rPr>
                <w:rFonts w:ascii="Times New Roman" w:eastAsia="Times New Roman" w:hAnsi="Times New Roman" w:cs="Times New Roman"/>
                <w:sz w:val="14"/>
                <w:szCs w:val="14"/>
                <w:lang w:val="en-GB" w:eastAsia="es-ES"/>
              </w:rPr>
              <w:t>0.91</w:t>
            </w:r>
          </w:p>
        </w:tc>
        <w:tc>
          <w:tcPr>
            <w:tcW w:w="280" w:type="pct"/>
            <w:tcBorders>
              <w:top w:val="nil"/>
              <w:bottom w:val="single" w:sz="4" w:space="0" w:color="auto"/>
              <w:right w:val="single" w:sz="4" w:space="0" w:color="auto"/>
            </w:tcBorders>
            <w:vAlign w:val="center"/>
          </w:tcPr>
          <w:p w14:paraId="69EBDF83" w14:textId="77777777" w:rsidR="00AC7436" w:rsidRPr="00FF31D4" w:rsidRDefault="00005B7F">
            <w:pPr>
              <w:spacing w:after="0" w:line="240" w:lineRule="auto"/>
              <w:jc w:val="center"/>
              <w:rPr>
                <w:rFonts w:ascii="Times New Roman" w:hAnsi="Times New Roman" w:cs="Times New Roman"/>
                <w:sz w:val="14"/>
                <w:szCs w:val="14"/>
                <w:lang w:val="en-GB"/>
              </w:rPr>
            </w:pPr>
            <w:r w:rsidRPr="00FF31D4">
              <w:rPr>
                <w:rFonts w:ascii="Times New Roman" w:hAnsi="Times New Roman" w:cs="Times New Roman"/>
                <w:sz w:val="14"/>
                <w:szCs w:val="14"/>
                <w:lang w:val="en-GB"/>
              </w:rPr>
              <w:t>&lt;0.001</w:t>
            </w:r>
          </w:p>
        </w:tc>
        <w:tc>
          <w:tcPr>
            <w:tcW w:w="417" w:type="pct"/>
            <w:tcBorders>
              <w:left w:val="single" w:sz="4" w:space="0" w:color="auto"/>
            </w:tcBorders>
            <w:noWrap/>
            <w:vAlign w:val="center"/>
          </w:tcPr>
          <w:p w14:paraId="18EA876C"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8.79</w:t>
            </w:r>
            <w:r w:rsidRPr="00FF31D4">
              <w:rPr>
                <w:rFonts w:ascii="Times New Roman" w:hAnsi="Times New Roman" w:cs="Times New Roman"/>
                <w:sz w:val="14"/>
                <w:szCs w:val="14"/>
                <w:shd w:val="clear" w:color="auto" w:fill="FFFFFF"/>
                <w:lang w:val="en-GB"/>
              </w:rPr>
              <w:t>±</w:t>
            </w:r>
            <w:r w:rsidRPr="00FF31D4">
              <w:rPr>
                <w:rFonts w:ascii="Times New Roman" w:eastAsia="Times New Roman" w:hAnsi="Times New Roman" w:cs="Times New Roman"/>
                <w:sz w:val="14"/>
                <w:szCs w:val="14"/>
                <w:lang w:val="en-GB" w:eastAsia="es-ES"/>
              </w:rPr>
              <w:t>0.71</w:t>
            </w:r>
          </w:p>
        </w:tc>
        <w:tc>
          <w:tcPr>
            <w:tcW w:w="425" w:type="pct"/>
            <w:vAlign w:val="center"/>
          </w:tcPr>
          <w:p w14:paraId="785A041C" w14:textId="77777777" w:rsidR="00AC7436" w:rsidRPr="00FF31D4" w:rsidRDefault="00005B7F">
            <w:pPr>
              <w:spacing w:after="0" w:line="240" w:lineRule="auto"/>
              <w:jc w:val="center"/>
              <w:rPr>
                <w:rFonts w:ascii="Times New Roman" w:hAnsi="Times New Roman" w:cs="Times New Roman"/>
                <w:sz w:val="14"/>
                <w:szCs w:val="14"/>
                <w:lang w:val="en-GB"/>
              </w:rPr>
            </w:pPr>
            <w:r w:rsidRPr="00FF31D4">
              <w:rPr>
                <w:rFonts w:ascii="Times New Roman" w:eastAsia="Times New Roman" w:hAnsi="Times New Roman" w:cs="Times New Roman"/>
                <w:sz w:val="14"/>
                <w:szCs w:val="14"/>
                <w:lang w:val="en-GB" w:eastAsia="es-ES"/>
              </w:rPr>
              <w:t>7.86</w:t>
            </w:r>
            <w:r w:rsidRPr="00FF31D4">
              <w:rPr>
                <w:rFonts w:ascii="Times New Roman" w:hAnsi="Times New Roman" w:cs="Times New Roman"/>
                <w:sz w:val="14"/>
                <w:szCs w:val="14"/>
                <w:shd w:val="clear" w:color="auto" w:fill="FFFFFF"/>
                <w:lang w:val="en-GB"/>
              </w:rPr>
              <w:t>±</w:t>
            </w:r>
            <w:r w:rsidRPr="00FF31D4">
              <w:rPr>
                <w:rFonts w:ascii="Times New Roman" w:eastAsia="Times New Roman" w:hAnsi="Times New Roman" w:cs="Times New Roman"/>
                <w:sz w:val="14"/>
                <w:szCs w:val="14"/>
                <w:lang w:val="en-GB" w:eastAsia="es-ES"/>
              </w:rPr>
              <w:t>0.74</w:t>
            </w:r>
          </w:p>
        </w:tc>
        <w:tc>
          <w:tcPr>
            <w:tcW w:w="280" w:type="pct"/>
            <w:vAlign w:val="center"/>
          </w:tcPr>
          <w:p w14:paraId="305CAA1F" w14:textId="77777777" w:rsidR="00AC7436" w:rsidRPr="00FF31D4" w:rsidRDefault="00005B7F">
            <w:pPr>
              <w:spacing w:after="0" w:line="240" w:lineRule="auto"/>
              <w:jc w:val="center"/>
              <w:rPr>
                <w:rFonts w:ascii="Times New Roman" w:hAnsi="Times New Roman" w:cs="Times New Roman"/>
                <w:sz w:val="14"/>
                <w:szCs w:val="14"/>
                <w:lang w:val="en-GB"/>
              </w:rPr>
            </w:pPr>
            <w:r w:rsidRPr="00FF31D4">
              <w:rPr>
                <w:rFonts w:ascii="Times New Roman" w:hAnsi="Times New Roman" w:cs="Times New Roman"/>
                <w:sz w:val="14"/>
                <w:szCs w:val="14"/>
                <w:lang w:val="en-GB"/>
              </w:rPr>
              <w:t>&lt;0.001</w:t>
            </w:r>
          </w:p>
        </w:tc>
      </w:tr>
    </w:tbl>
    <w:p w14:paraId="40CB9CA7" w14:textId="2AA0AF63" w:rsidR="00AC7436" w:rsidRPr="00FF31D4" w:rsidRDefault="00005B7F">
      <w:pPr>
        <w:spacing w:before="240" w:line="480" w:lineRule="auto"/>
        <w:ind w:firstLine="709"/>
        <w:jc w:val="both"/>
        <w:rPr>
          <w:rFonts w:ascii="Times New Roman" w:hAnsi="Times New Roman" w:cs="Times New Roman"/>
          <w:sz w:val="20"/>
          <w:szCs w:val="20"/>
          <w:lang w:val="en-GB"/>
        </w:rPr>
      </w:pPr>
      <w:r w:rsidRPr="00FF31D4">
        <w:rPr>
          <w:rFonts w:ascii="Times New Roman" w:hAnsi="Times New Roman" w:cs="Times New Roman"/>
          <w:sz w:val="20"/>
          <w:szCs w:val="20"/>
          <w:lang w:val="en-GB"/>
        </w:rPr>
        <w:t xml:space="preserve">Table 3 presents outcomes pertaining to MD adherence, alongside the consumption of relevant foodstuffs as a function of age and sex. With regards to age, significantly higher values were observed in relation to eating breakfast every day and the consumption of cereals, fruit, fish and nuts in first-year students. In contrast, lower values were produced with regards to the consumption of legumes and the affluence of fast-food establishments. These outcomes were shown through lower MD adherence indices within fourth-year students. Analysis based on </w:t>
      </w:r>
      <w:r w:rsidR="0044079C" w:rsidRPr="00FF31D4">
        <w:rPr>
          <w:rFonts w:ascii="Times New Roman" w:hAnsi="Times New Roman" w:cs="Times New Roman"/>
          <w:sz w:val="20"/>
          <w:szCs w:val="20"/>
          <w:lang w:val="en-GB"/>
        </w:rPr>
        <w:t>sex</w:t>
      </w:r>
      <w:r w:rsidRPr="00FF31D4">
        <w:rPr>
          <w:rFonts w:ascii="Times New Roman" w:hAnsi="Times New Roman" w:cs="Times New Roman"/>
          <w:sz w:val="20"/>
          <w:szCs w:val="20"/>
          <w:lang w:val="en-GB"/>
        </w:rPr>
        <w:t xml:space="preserve"> produced similar outcomes at a global level, although small differences did emerge in relation to the consumption of some foodstuffs. For instance, fourth-year male students reported a higher intake of olive oil despite this aspect not emerging in the overall dataset.  </w:t>
      </w:r>
    </w:p>
    <w:p w14:paraId="5E458F81" w14:textId="77777777" w:rsidR="00AC7436" w:rsidRPr="00FF31D4" w:rsidRDefault="00005B7F">
      <w:pPr>
        <w:spacing w:line="360" w:lineRule="auto"/>
        <w:jc w:val="both"/>
        <w:rPr>
          <w:rFonts w:ascii="Times New Roman" w:hAnsi="Times New Roman" w:cs="Times New Roman"/>
          <w:sz w:val="20"/>
          <w:szCs w:val="20"/>
          <w:lang w:val="en-GB"/>
        </w:rPr>
      </w:pPr>
      <w:r w:rsidRPr="00FF31D4">
        <w:rPr>
          <w:rFonts w:ascii="Times New Roman" w:hAnsi="Times New Roman" w:cs="Times New Roman"/>
          <w:b/>
          <w:sz w:val="20"/>
          <w:szCs w:val="20"/>
          <w:lang w:val="en-GB"/>
        </w:rPr>
        <w:t xml:space="preserve">Table 3. </w:t>
      </w:r>
      <w:r w:rsidRPr="00FF31D4">
        <w:rPr>
          <w:rFonts w:ascii="Times New Roman" w:hAnsi="Times New Roman" w:cs="Times New Roman"/>
          <w:bCs/>
          <w:sz w:val="20"/>
          <w:szCs w:val="20"/>
          <w:lang w:val="en-GB"/>
        </w:rPr>
        <w:t>Adherence to the MD based on</w:t>
      </w:r>
      <w:r w:rsidRPr="00FF31D4">
        <w:rPr>
          <w:rFonts w:ascii="Times New Roman" w:hAnsi="Times New Roman" w:cs="Times New Roman"/>
          <w:sz w:val="20"/>
          <w:szCs w:val="20"/>
          <w:lang w:val="en-GB"/>
        </w:rPr>
        <w:t xml:space="preserve"> sex and grade.</w:t>
      </w:r>
    </w:p>
    <w:tbl>
      <w:tblPr>
        <w:tblW w:w="5000" w:type="pct"/>
        <w:tblBorders>
          <w:top w:val="single" w:sz="4" w:space="0" w:color="auto"/>
          <w:bottom w:val="single" w:sz="4" w:space="0" w:color="auto"/>
        </w:tblBorders>
        <w:tblCellMar>
          <w:left w:w="28" w:type="dxa"/>
          <w:right w:w="28" w:type="dxa"/>
        </w:tblCellMar>
        <w:tblLook w:val="04A0" w:firstRow="1" w:lastRow="0" w:firstColumn="1" w:lastColumn="0" w:noHBand="0" w:noVBand="1"/>
      </w:tblPr>
      <w:tblGrid>
        <w:gridCol w:w="2777"/>
        <w:gridCol w:w="719"/>
        <w:gridCol w:w="733"/>
        <w:gridCol w:w="483"/>
        <w:gridCol w:w="719"/>
        <w:gridCol w:w="733"/>
        <w:gridCol w:w="483"/>
        <w:gridCol w:w="646"/>
        <w:gridCol w:w="733"/>
        <w:gridCol w:w="478"/>
      </w:tblGrid>
      <w:tr w:rsidR="00FF31D4" w:rsidRPr="00FF31D4" w14:paraId="4F580A4C" w14:textId="77777777">
        <w:trPr>
          <w:trHeight w:val="553"/>
        </w:trPr>
        <w:tc>
          <w:tcPr>
            <w:tcW w:w="1632" w:type="pct"/>
            <w:tcBorders>
              <w:bottom w:val="nil"/>
            </w:tcBorders>
            <w:noWrap/>
            <w:vAlign w:val="center"/>
          </w:tcPr>
          <w:p w14:paraId="2D9F23BA" w14:textId="77777777" w:rsidR="00AC7436" w:rsidRPr="00FF31D4" w:rsidRDefault="00AC7436">
            <w:pPr>
              <w:spacing w:after="0" w:line="240" w:lineRule="auto"/>
              <w:jc w:val="both"/>
              <w:rPr>
                <w:rFonts w:ascii="Times New Roman" w:eastAsia="Times New Roman" w:hAnsi="Times New Roman" w:cs="Times New Roman"/>
                <w:sz w:val="14"/>
                <w:szCs w:val="14"/>
                <w:lang w:val="en-GB" w:eastAsia="es-ES"/>
              </w:rPr>
            </w:pPr>
          </w:p>
        </w:tc>
        <w:tc>
          <w:tcPr>
            <w:tcW w:w="1137" w:type="pct"/>
            <w:gridSpan w:val="3"/>
            <w:tcBorders>
              <w:top w:val="single" w:sz="4" w:space="0" w:color="auto"/>
              <w:bottom w:val="single" w:sz="4" w:space="0" w:color="auto"/>
            </w:tcBorders>
            <w:vAlign w:val="center"/>
          </w:tcPr>
          <w:p w14:paraId="4D2A6492"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hAnsi="Times New Roman" w:cs="Times New Roman"/>
                <w:sz w:val="14"/>
                <w:szCs w:val="14"/>
                <w:lang w:val="en-GB"/>
              </w:rPr>
              <w:t>All</w:t>
            </w:r>
          </w:p>
          <w:p w14:paraId="6E61123F" w14:textId="77777777" w:rsidR="00AC7436" w:rsidRPr="00FF31D4" w:rsidRDefault="00005B7F">
            <w:pPr>
              <w:spacing w:after="0" w:line="240" w:lineRule="auto"/>
              <w:jc w:val="center"/>
              <w:rPr>
                <w:rFonts w:ascii="Times New Roman" w:hAnsi="Times New Roman" w:cs="Times New Roman"/>
                <w:sz w:val="14"/>
                <w:szCs w:val="14"/>
                <w:lang w:val="en-GB"/>
              </w:rPr>
            </w:pPr>
            <w:r w:rsidRPr="00FF31D4">
              <w:rPr>
                <w:rFonts w:ascii="Times New Roman" w:eastAsia="Times New Roman" w:hAnsi="Times New Roman" w:cs="Times New Roman"/>
                <w:sz w:val="14"/>
                <w:szCs w:val="14"/>
                <w:lang w:val="en-GB" w:eastAsia="es-ES"/>
              </w:rPr>
              <w:t>(n = 761)</w:t>
            </w:r>
          </w:p>
        </w:tc>
        <w:tc>
          <w:tcPr>
            <w:tcW w:w="1137" w:type="pct"/>
            <w:gridSpan w:val="3"/>
            <w:tcBorders>
              <w:top w:val="single" w:sz="4" w:space="0" w:color="auto"/>
              <w:bottom w:val="single" w:sz="4" w:space="0" w:color="auto"/>
            </w:tcBorders>
            <w:vAlign w:val="center"/>
          </w:tcPr>
          <w:p w14:paraId="1D05F998"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hAnsi="Times New Roman" w:cs="Times New Roman"/>
                <w:sz w:val="14"/>
                <w:szCs w:val="14"/>
                <w:lang w:val="en-GB"/>
              </w:rPr>
              <w:t>Boys</w:t>
            </w:r>
          </w:p>
          <w:p w14:paraId="0944F5B1" w14:textId="77777777" w:rsidR="00AC7436" w:rsidRPr="00FF31D4" w:rsidRDefault="00005B7F">
            <w:pPr>
              <w:spacing w:after="0" w:line="240" w:lineRule="auto"/>
              <w:jc w:val="center"/>
              <w:rPr>
                <w:rFonts w:ascii="Times New Roman" w:eastAsia="Times New Roman" w:hAnsi="Times New Roman" w:cs="Times New Roman"/>
                <w:i/>
                <w:sz w:val="14"/>
                <w:szCs w:val="14"/>
                <w:lang w:val="en-GB" w:eastAsia="es-ES"/>
              </w:rPr>
            </w:pPr>
            <w:r w:rsidRPr="00FF31D4">
              <w:rPr>
                <w:rFonts w:ascii="Times New Roman" w:eastAsia="Times New Roman" w:hAnsi="Times New Roman" w:cs="Times New Roman"/>
                <w:sz w:val="14"/>
                <w:szCs w:val="14"/>
                <w:lang w:val="en-GB" w:eastAsia="es-ES"/>
              </w:rPr>
              <w:t>(n = 393)</w:t>
            </w:r>
          </w:p>
        </w:tc>
        <w:tc>
          <w:tcPr>
            <w:tcW w:w="1094" w:type="pct"/>
            <w:gridSpan w:val="3"/>
            <w:tcBorders>
              <w:top w:val="single" w:sz="4" w:space="0" w:color="auto"/>
              <w:bottom w:val="single" w:sz="4" w:space="0" w:color="auto"/>
            </w:tcBorders>
            <w:vAlign w:val="center"/>
          </w:tcPr>
          <w:p w14:paraId="359246FE"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hAnsi="Times New Roman" w:cs="Times New Roman"/>
                <w:sz w:val="14"/>
                <w:szCs w:val="14"/>
                <w:lang w:val="en-GB"/>
              </w:rPr>
              <w:t>Girls</w:t>
            </w:r>
          </w:p>
          <w:p w14:paraId="47BA40E2" w14:textId="77777777" w:rsidR="00AC7436" w:rsidRPr="00FF31D4" w:rsidRDefault="00005B7F">
            <w:pPr>
              <w:spacing w:after="0" w:line="240" w:lineRule="auto"/>
              <w:jc w:val="center"/>
              <w:rPr>
                <w:rFonts w:ascii="Times New Roman" w:eastAsia="Times New Roman" w:hAnsi="Times New Roman" w:cs="Times New Roman"/>
                <w:i/>
                <w:sz w:val="14"/>
                <w:szCs w:val="14"/>
                <w:lang w:val="en-GB" w:eastAsia="es-ES"/>
              </w:rPr>
            </w:pPr>
            <w:r w:rsidRPr="00FF31D4">
              <w:rPr>
                <w:rFonts w:ascii="Times New Roman" w:eastAsia="Times New Roman" w:hAnsi="Times New Roman" w:cs="Times New Roman"/>
                <w:sz w:val="14"/>
                <w:szCs w:val="14"/>
                <w:lang w:val="en-GB" w:eastAsia="es-ES"/>
              </w:rPr>
              <w:t>(n = 378)</w:t>
            </w:r>
          </w:p>
        </w:tc>
      </w:tr>
      <w:tr w:rsidR="00FF31D4" w:rsidRPr="00FF31D4" w14:paraId="53509542" w14:textId="77777777">
        <w:trPr>
          <w:trHeight w:val="340"/>
        </w:trPr>
        <w:tc>
          <w:tcPr>
            <w:tcW w:w="1632" w:type="pct"/>
            <w:tcBorders>
              <w:top w:val="nil"/>
              <w:bottom w:val="single" w:sz="4" w:space="0" w:color="auto"/>
            </w:tcBorders>
            <w:noWrap/>
            <w:vAlign w:val="center"/>
          </w:tcPr>
          <w:p w14:paraId="7F8FEA89" w14:textId="77777777" w:rsidR="00AC7436" w:rsidRPr="00FF31D4" w:rsidRDefault="00AC7436">
            <w:pPr>
              <w:spacing w:after="0" w:line="240" w:lineRule="auto"/>
              <w:jc w:val="both"/>
              <w:rPr>
                <w:rFonts w:ascii="Times New Roman" w:eastAsia="Times New Roman" w:hAnsi="Times New Roman" w:cs="Times New Roman"/>
                <w:sz w:val="14"/>
                <w:szCs w:val="14"/>
                <w:lang w:val="en-GB" w:eastAsia="es-ES"/>
              </w:rPr>
            </w:pPr>
          </w:p>
        </w:tc>
        <w:tc>
          <w:tcPr>
            <w:tcW w:w="423" w:type="pct"/>
            <w:tcBorders>
              <w:top w:val="single" w:sz="4" w:space="0" w:color="auto"/>
              <w:bottom w:val="single" w:sz="4" w:space="0" w:color="auto"/>
            </w:tcBorders>
            <w:vAlign w:val="center"/>
          </w:tcPr>
          <w:p w14:paraId="4F257D4F"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hAnsi="Times New Roman" w:cs="Times New Roman"/>
                <w:sz w:val="14"/>
                <w:szCs w:val="14"/>
                <w:lang w:val="en-GB"/>
              </w:rPr>
              <w:t>First year</w:t>
            </w:r>
          </w:p>
          <w:p w14:paraId="6C451D22"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(n = 383)</w:t>
            </w:r>
          </w:p>
          <w:p w14:paraId="327B8E99"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%YES</w:t>
            </w:r>
          </w:p>
        </w:tc>
        <w:tc>
          <w:tcPr>
            <w:tcW w:w="431" w:type="pct"/>
            <w:tcBorders>
              <w:top w:val="single" w:sz="4" w:space="0" w:color="auto"/>
              <w:bottom w:val="single" w:sz="4" w:space="0" w:color="auto"/>
            </w:tcBorders>
            <w:vAlign w:val="center"/>
          </w:tcPr>
          <w:p w14:paraId="491A5720"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hAnsi="Times New Roman" w:cs="Times New Roman"/>
                <w:sz w:val="14"/>
                <w:szCs w:val="14"/>
                <w:lang w:val="en-GB"/>
              </w:rPr>
              <w:t>Fourth year</w:t>
            </w:r>
          </w:p>
          <w:p w14:paraId="128D54C6"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(n = 378)</w:t>
            </w:r>
          </w:p>
          <w:p w14:paraId="52F9E3DB"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%YES</w:t>
            </w:r>
          </w:p>
        </w:tc>
        <w:tc>
          <w:tcPr>
            <w:tcW w:w="284" w:type="pct"/>
            <w:tcBorders>
              <w:top w:val="single" w:sz="4" w:space="0" w:color="auto"/>
              <w:bottom w:val="single" w:sz="4" w:space="0" w:color="auto"/>
              <w:right w:val="single" w:sz="4" w:space="0" w:color="auto"/>
            </w:tcBorders>
            <w:vAlign w:val="center"/>
          </w:tcPr>
          <w:p w14:paraId="57A71DAD"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i/>
                <w:sz w:val="14"/>
                <w:szCs w:val="14"/>
                <w:lang w:val="en-GB" w:eastAsia="es-ES"/>
              </w:rPr>
              <w:t xml:space="preserve">p </w:t>
            </w:r>
            <w:r w:rsidRPr="00FF31D4">
              <w:rPr>
                <w:rFonts w:ascii="Times New Roman" w:eastAsia="Times New Roman" w:hAnsi="Times New Roman" w:cs="Times New Roman"/>
                <w:sz w:val="14"/>
                <w:szCs w:val="14"/>
                <w:lang w:val="en-GB" w:eastAsia="es-ES"/>
              </w:rPr>
              <w:t>value</w:t>
            </w:r>
          </w:p>
        </w:tc>
        <w:tc>
          <w:tcPr>
            <w:tcW w:w="423" w:type="pct"/>
            <w:tcBorders>
              <w:top w:val="single" w:sz="4" w:space="0" w:color="auto"/>
              <w:left w:val="single" w:sz="4" w:space="0" w:color="auto"/>
              <w:bottom w:val="single" w:sz="4" w:space="0" w:color="auto"/>
            </w:tcBorders>
            <w:vAlign w:val="center"/>
          </w:tcPr>
          <w:p w14:paraId="412A5CE0"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hAnsi="Times New Roman" w:cs="Times New Roman"/>
                <w:sz w:val="14"/>
                <w:szCs w:val="14"/>
                <w:lang w:val="en-GB"/>
              </w:rPr>
              <w:t>First year</w:t>
            </w:r>
          </w:p>
          <w:p w14:paraId="1139CDDA"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(n = 192)</w:t>
            </w:r>
          </w:p>
          <w:p w14:paraId="719ADAD1"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%YES</w:t>
            </w:r>
          </w:p>
        </w:tc>
        <w:tc>
          <w:tcPr>
            <w:tcW w:w="431" w:type="pct"/>
            <w:tcBorders>
              <w:top w:val="single" w:sz="4" w:space="0" w:color="auto"/>
              <w:bottom w:val="single" w:sz="4" w:space="0" w:color="auto"/>
            </w:tcBorders>
            <w:vAlign w:val="center"/>
          </w:tcPr>
          <w:p w14:paraId="5CC96DB9"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hAnsi="Times New Roman" w:cs="Times New Roman"/>
                <w:sz w:val="14"/>
                <w:szCs w:val="14"/>
                <w:lang w:val="en-GB"/>
              </w:rPr>
              <w:t>Fourth year</w:t>
            </w:r>
          </w:p>
          <w:p w14:paraId="36833E54"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(n = 191)</w:t>
            </w:r>
          </w:p>
          <w:p w14:paraId="63FAFA79"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%YES</w:t>
            </w:r>
          </w:p>
        </w:tc>
        <w:tc>
          <w:tcPr>
            <w:tcW w:w="284" w:type="pct"/>
            <w:tcBorders>
              <w:top w:val="single" w:sz="4" w:space="0" w:color="auto"/>
              <w:bottom w:val="single" w:sz="4" w:space="0" w:color="auto"/>
              <w:right w:val="single" w:sz="4" w:space="0" w:color="auto"/>
            </w:tcBorders>
            <w:vAlign w:val="center"/>
          </w:tcPr>
          <w:p w14:paraId="2E67EB9E"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i/>
                <w:sz w:val="14"/>
                <w:szCs w:val="14"/>
                <w:lang w:val="en-GB" w:eastAsia="es-ES"/>
              </w:rPr>
              <w:t xml:space="preserve">p </w:t>
            </w:r>
            <w:r w:rsidRPr="00FF31D4">
              <w:rPr>
                <w:rFonts w:ascii="Times New Roman" w:eastAsia="Times New Roman" w:hAnsi="Times New Roman" w:cs="Times New Roman"/>
                <w:sz w:val="14"/>
                <w:szCs w:val="14"/>
                <w:lang w:val="en-GB" w:eastAsia="es-ES"/>
              </w:rPr>
              <w:t>value</w:t>
            </w:r>
          </w:p>
        </w:tc>
        <w:tc>
          <w:tcPr>
            <w:tcW w:w="380" w:type="pct"/>
            <w:tcBorders>
              <w:top w:val="single" w:sz="4" w:space="0" w:color="auto"/>
              <w:left w:val="single" w:sz="4" w:space="0" w:color="auto"/>
              <w:bottom w:val="single" w:sz="4" w:space="0" w:color="auto"/>
            </w:tcBorders>
            <w:vAlign w:val="center"/>
          </w:tcPr>
          <w:p w14:paraId="63C6E94F"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hAnsi="Times New Roman" w:cs="Times New Roman"/>
                <w:sz w:val="14"/>
                <w:szCs w:val="14"/>
                <w:lang w:val="en-GB"/>
              </w:rPr>
              <w:t>First year</w:t>
            </w:r>
          </w:p>
          <w:p w14:paraId="60F15E87"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(n = 191)</w:t>
            </w:r>
          </w:p>
          <w:p w14:paraId="26C4514A"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%YES</w:t>
            </w:r>
          </w:p>
        </w:tc>
        <w:tc>
          <w:tcPr>
            <w:tcW w:w="431" w:type="pct"/>
            <w:tcBorders>
              <w:top w:val="single" w:sz="4" w:space="0" w:color="auto"/>
              <w:bottom w:val="single" w:sz="4" w:space="0" w:color="auto"/>
            </w:tcBorders>
            <w:vAlign w:val="center"/>
          </w:tcPr>
          <w:p w14:paraId="546F3B1B"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hAnsi="Times New Roman" w:cs="Times New Roman"/>
                <w:sz w:val="14"/>
                <w:szCs w:val="14"/>
                <w:lang w:val="en-GB"/>
              </w:rPr>
              <w:t>Fourth year</w:t>
            </w:r>
          </w:p>
          <w:p w14:paraId="4A3B4FA1"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(n = 187)</w:t>
            </w:r>
          </w:p>
          <w:p w14:paraId="606A9EA4"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%YES</w:t>
            </w:r>
          </w:p>
        </w:tc>
        <w:tc>
          <w:tcPr>
            <w:tcW w:w="284" w:type="pct"/>
            <w:tcBorders>
              <w:top w:val="single" w:sz="4" w:space="0" w:color="auto"/>
              <w:bottom w:val="single" w:sz="4" w:space="0" w:color="auto"/>
            </w:tcBorders>
            <w:vAlign w:val="center"/>
          </w:tcPr>
          <w:p w14:paraId="7554DA88"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i/>
                <w:sz w:val="14"/>
                <w:szCs w:val="14"/>
                <w:lang w:val="en-GB" w:eastAsia="es-ES"/>
              </w:rPr>
              <w:t xml:space="preserve">p </w:t>
            </w:r>
            <w:r w:rsidRPr="00FF31D4">
              <w:rPr>
                <w:rFonts w:ascii="Times New Roman" w:eastAsia="Times New Roman" w:hAnsi="Times New Roman" w:cs="Times New Roman"/>
                <w:sz w:val="14"/>
                <w:szCs w:val="14"/>
                <w:lang w:val="en-GB" w:eastAsia="es-ES"/>
              </w:rPr>
              <w:t>value</w:t>
            </w:r>
          </w:p>
        </w:tc>
      </w:tr>
      <w:tr w:rsidR="00FF31D4" w:rsidRPr="00FF31D4" w14:paraId="6890D2E2" w14:textId="77777777">
        <w:trPr>
          <w:trHeight w:val="340"/>
        </w:trPr>
        <w:tc>
          <w:tcPr>
            <w:tcW w:w="1632" w:type="pct"/>
            <w:tcBorders>
              <w:top w:val="single" w:sz="4" w:space="0" w:color="auto"/>
            </w:tcBorders>
            <w:noWrap/>
            <w:vAlign w:val="center"/>
          </w:tcPr>
          <w:p w14:paraId="557AD693" w14:textId="77777777" w:rsidR="00AC7436" w:rsidRPr="00FF31D4" w:rsidRDefault="00005B7F">
            <w:pPr>
              <w:spacing w:after="0" w:line="240" w:lineRule="auto"/>
              <w:jc w:val="both"/>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Adherence to the Mediterranean diet</w:t>
            </w:r>
          </w:p>
        </w:tc>
        <w:tc>
          <w:tcPr>
            <w:tcW w:w="423" w:type="pct"/>
            <w:tcBorders>
              <w:top w:val="single" w:sz="4" w:space="0" w:color="auto"/>
            </w:tcBorders>
            <w:noWrap/>
            <w:vAlign w:val="center"/>
          </w:tcPr>
          <w:p w14:paraId="648697D2"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7.57 ± 2.12</w:t>
            </w:r>
          </w:p>
        </w:tc>
        <w:tc>
          <w:tcPr>
            <w:tcW w:w="431" w:type="pct"/>
            <w:tcBorders>
              <w:top w:val="single" w:sz="4" w:space="0" w:color="auto"/>
            </w:tcBorders>
            <w:vAlign w:val="center"/>
          </w:tcPr>
          <w:p w14:paraId="1A7B4C00"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7.03 ± 2.07</w:t>
            </w:r>
          </w:p>
        </w:tc>
        <w:tc>
          <w:tcPr>
            <w:tcW w:w="284" w:type="pct"/>
            <w:tcBorders>
              <w:top w:val="single" w:sz="4" w:space="0" w:color="auto"/>
              <w:right w:val="single" w:sz="4" w:space="0" w:color="auto"/>
            </w:tcBorders>
            <w:vAlign w:val="center"/>
          </w:tcPr>
          <w:p w14:paraId="071F6762"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hAnsi="Times New Roman" w:cs="Times New Roman"/>
                <w:sz w:val="14"/>
                <w:szCs w:val="14"/>
                <w:lang w:val="en-GB"/>
              </w:rPr>
              <w:t>&lt;0.001</w:t>
            </w:r>
          </w:p>
        </w:tc>
        <w:tc>
          <w:tcPr>
            <w:tcW w:w="423" w:type="pct"/>
            <w:tcBorders>
              <w:top w:val="single" w:sz="4" w:space="0" w:color="auto"/>
              <w:left w:val="single" w:sz="4" w:space="0" w:color="auto"/>
            </w:tcBorders>
            <w:vAlign w:val="center"/>
          </w:tcPr>
          <w:p w14:paraId="5ACDC3BC"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7.51 ± 2.15</w:t>
            </w:r>
          </w:p>
        </w:tc>
        <w:tc>
          <w:tcPr>
            <w:tcW w:w="431" w:type="pct"/>
            <w:tcBorders>
              <w:top w:val="single" w:sz="4" w:space="0" w:color="auto"/>
            </w:tcBorders>
            <w:vAlign w:val="center"/>
          </w:tcPr>
          <w:p w14:paraId="22DAF8C9" w14:textId="77777777" w:rsidR="00AC7436" w:rsidRPr="00FF31D4" w:rsidRDefault="00005B7F">
            <w:pPr>
              <w:spacing w:after="0" w:line="240" w:lineRule="auto"/>
              <w:jc w:val="center"/>
              <w:rPr>
                <w:rFonts w:ascii="Times New Roman" w:hAnsi="Times New Roman" w:cs="Times New Roman"/>
                <w:sz w:val="14"/>
                <w:szCs w:val="14"/>
                <w:lang w:val="en-GB"/>
              </w:rPr>
            </w:pPr>
            <w:r w:rsidRPr="00FF31D4">
              <w:rPr>
                <w:rFonts w:ascii="Times New Roman" w:eastAsia="Times New Roman" w:hAnsi="Times New Roman" w:cs="Times New Roman"/>
                <w:sz w:val="14"/>
                <w:szCs w:val="14"/>
                <w:lang w:val="en-GB" w:eastAsia="es-ES"/>
              </w:rPr>
              <w:t>6.88 ± 2.01</w:t>
            </w:r>
          </w:p>
        </w:tc>
        <w:tc>
          <w:tcPr>
            <w:tcW w:w="284" w:type="pct"/>
            <w:tcBorders>
              <w:top w:val="single" w:sz="4" w:space="0" w:color="auto"/>
              <w:right w:val="single" w:sz="4" w:space="0" w:color="auto"/>
            </w:tcBorders>
            <w:vAlign w:val="center"/>
          </w:tcPr>
          <w:p w14:paraId="458709AA" w14:textId="77777777" w:rsidR="00AC7436" w:rsidRPr="00FF31D4" w:rsidRDefault="00005B7F">
            <w:pPr>
              <w:spacing w:after="0" w:line="240" w:lineRule="auto"/>
              <w:jc w:val="center"/>
              <w:rPr>
                <w:rFonts w:ascii="Times New Roman" w:hAnsi="Times New Roman" w:cs="Times New Roman"/>
                <w:sz w:val="14"/>
                <w:szCs w:val="14"/>
                <w:lang w:val="en-GB"/>
              </w:rPr>
            </w:pPr>
            <w:r w:rsidRPr="00FF31D4">
              <w:rPr>
                <w:rFonts w:ascii="Times New Roman" w:hAnsi="Times New Roman" w:cs="Times New Roman"/>
                <w:sz w:val="14"/>
                <w:szCs w:val="14"/>
                <w:lang w:val="en-GB"/>
              </w:rPr>
              <w:t>&lt;0.001</w:t>
            </w:r>
          </w:p>
        </w:tc>
        <w:tc>
          <w:tcPr>
            <w:tcW w:w="380" w:type="pct"/>
            <w:tcBorders>
              <w:top w:val="single" w:sz="4" w:space="0" w:color="auto"/>
              <w:left w:val="single" w:sz="4" w:space="0" w:color="auto"/>
            </w:tcBorders>
            <w:vAlign w:val="center"/>
          </w:tcPr>
          <w:p w14:paraId="688AA602"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7.64 ± 2.1</w:t>
            </w:r>
          </w:p>
        </w:tc>
        <w:tc>
          <w:tcPr>
            <w:tcW w:w="431" w:type="pct"/>
            <w:tcBorders>
              <w:top w:val="single" w:sz="4" w:space="0" w:color="auto"/>
            </w:tcBorders>
            <w:vAlign w:val="center"/>
          </w:tcPr>
          <w:p w14:paraId="2A0F801B" w14:textId="77777777" w:rsidR="00AC7436" w:rsidRPr="00FF31D4" w:rsidRDefault="00005B7F">
            <w:pPr>
              <w:spacing w:after="0" w:line="240" w:lineRule="auto"/>
              <w:jc w:val="center"/>
              <w:rPr>
                <w:rFonts w:ascii="Times New Roman" w:hAnsi="Times New Roman" w:cs="Times New Roman"/>
                <w:sz w:val="14"/>
                <w:szCs w:val="14"/>
                <w:lang w:val="en-GB"/>
              </w:rPr>
            </w:pPr>
            <w:r w:rsidRPr="00FF31D4">
              <w:rPr>
                <w:rFonts w:ascii="Times New Roman" w:eastAsia="Times New Roman" w:hAnsi="Times New Roman" w:cs="Times New Roman"/>
                <w:sz w:val="14"/>
                <w:szCs w:val="14"/>
                <w:lang w:val="en-GB" w:eastAsia="es-ES"/>
              </w:rPr>
              <w:t>7.19 ± 2.12</w:t>
            </w:r>
          </w:p>
        </w:tc>
        <w:tc>
          <w:tcPr>
            <w:tcW w:w="284" w:type="pct"/>
            <w:tcBorders>
              <w:top w:val="single" w:sz="4" w:space="0" w:color="auto"/>
            </w:tcBorders>
            <w:vAlign w:val="center"/>
          </w:tcPr>
          <w:p w14:paraId="2FB25C6F" w14:textId="77777777" w:rsidR="00AC7436" w:rsidRPr="00FF31D4" w:rsidRDefault="00005B7F">
            <w:pPr>
              <w:spacing w:after="0" w:line="240" w:lineRule="auto"/>
              <w:jc w:val="center"/>
              <w:rPr>
                <w:rFonts w:ascii="Times New Roman" w:hAnsi="Times New Roman" w:cs="Times New Roman"/>
                <w:sz w:val="14"/>
                <w:szCs w:val="14"/>
                <w:lang w:val="en-GB"/>
              </w:rPr>
            </w:pPr>
            <w:r w:rsidRPr="00FF31D4">
              <w:rPr>
                <w:rFonts w:ascii="Times New Roman" w:hAnsi="Times New Roman" w:cs="Times New Roman"/>
                <w:sz w:val="14"/>
                <w:szCs w:val="14"/>
                <w:lang w:val="en-GB"/>
              </w:rPr>
              <w:t>0.039</w:t>
            </w:r>
          </w:p>
        </w:tc>
      </w:tr>
      <w:tr w:rsidR="00FF31D4" w:rsidRPr="00FF31D4" w14:paraId="03582F35" w14:textId="77777777">
        <w:trPr>
          <w:trHeight w:val="340"/>
        </w:trPr>
        <w:tc>
          <w:tcPr>
            <w:tcW w:w="1632" w:type="pct"/>
            <w:noWrap/>
            <w:vAlign w:val="center"/>
          </w:tcPr>
          <w:p w14:paraId="16F709A9" w14:textId="77777777" w:rsidR="00AC7436" w:rsidRPr="00FF31D4" w:rsidRDefault="00005B7F">
            <w:pPr>
              <w:spacing w:after="0" w:line="240" w:lineRule="auto"/>
              <w:ind w:firstLine="426"/>
              <w:jc w:val="both"/>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Daily breakfast</w:t>
            </w:r>
          </w:p>
        </w:tc>
        <w:tc>
          <w:tcPr>
            <w:tcW w:w="423" w:type="pct"/>
            <w:noWrap/>
            <w:vAlign w:val="center"/>
          </w:tcPr>
          <w:p w14:paraId="1E3A5EE8"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96.3%</w:t>
            </w:r>
          </w:p>
        </w:tc>
        <w:tc>
          <w:tcPr>
            <w:tcW w:w="431" w:type="pct"/>
            <w:vAlign w:val="center"/>
          </w:tcPr>
          <w:p w14:paraId="40579AD6"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92.3%</w:t>
            </w:r>
          </w:p>
        </w:tc>
        <w:tc>
          <w:tcPr>
            <w:tcW w:w="284" w:type="pct"/>
            <w:tcBorders>
              <w:right w:val="single" w:sz="4" w:space="0" w:color="auto"/>
            </w:tcBorders>
            <w:vAlign w:val="center"/>
          </w:tcPr>
          <w:p w14:paraId="7BDBD230"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0.016</w:t>
            </w:r>
          </w:p>
        </w:tc>
        <w:tc>
          <w:tcPr>
            <w:tcW w:w="423" w:type="pct"/>
            <w:tcBorders>
              <w:left w:val="single" w:sz="4" w:space="0" w:color="auto"/>
            </w:tcBorders>
            <w:vAlign w:val="center"/>
          </w:tcPr>
          <w:p w14:paraId="3B1B8275"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97.9%</w:t>
            </w:r>
          </w:p>
        </w:tc>
        <w:tc>
          <w:tcPr>
            <w:tcW w:w="431" w:type="pct"/>
            <w:vAlign w:val="center"/>
          </w:tcPr>
          <w:p w14:paraId="2968A8A2"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91.6%</w:t>
            </w:r>
          </w:p>
        </w:tc>
        <w:tc>
          <w:tcPr>
            <w:tcW w:w="284" w:type="pct"/>
            <w:tcBorders>
              <w:right w:val="single" w:sz="4" w:space="0" w:color="auto"/>
            </w:tcBorders>
            <w:vAlign w:val="center"/>
          </w:tcPr>
          <w:p w14:paraId="2F1A186F"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0.006</w:t>
            </w:r>
          </w:p>
        </w:tc>
        <w:tc>
          <w:tcPr>
            <w:tcW w:w="380" w:type="pct"/>
            <w:tcBorders>
              <w:left w:val="single" w:sz="4" w:space="0" w:color="auto"/>
            </w:tcBorders>
            <w:vAlign w:val="center"/>
          </w:tcPr>
          <w:p w14:paraId="17281C0A"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94.8%</w:t>
            </w:r>
          </w:p>
        </w:tc>
        <w:tc>
          <w:tcPr>
            <w:tcW w:w="431" w:type="pct"/>
            <w:vAlign w:val="center"/>
          </w:tcPr>
          <w:p w14:paraId="78C86A92"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93%</w:t>
            </w:r>
          </w:p>
        </w:tc>
        <w:tc>
          <w:tcPr>
            <w:tcW w:w="284" w:type="pct"/>
            <w:vAlign w:val="center"/>
          </w:tcPr>
          <w:p w14:paraId="3BAD530F"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0.485</w:t>
            </w:r>
          </w:p>
        </w:tc>
      </w:tr>
      <w:tr w:rsidR="00FF31D4" w:rsidRPr="00FF31D4" w14:paraId="7FD4CBE4" w14:textId="77777777">
        <w:trPr>
          <w:trHeight w:val="340"/>
        </w:trPr>
        <w:tc>
          <w:tcPr>
            <w:tcW w:w="1632" w:type="pct"/>
            <w:noWrap/>
            <w:vAlign w:val="center"/>
          </w:tcPr>
          <w:p w14:paraId="6917C60A" w14:textId="77777777" w:rsidR="00AC7436" w:rsidRPr="00FF31D4" w:rsidRDefault="00005B7F">
            <w:pPr>
              <w:spacing w:after="0" w:line="240" w:lineRule="auto"/>
              <w:ind w:firstLine="426"/>
              <w:jc w:val="both"/>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Dairy products for breakfast</w:t>
            </w:r>
          </w:p>
        </w:tc>
        <w:tc>
          <w:tcPr>
            <w:tcW w:w="423" w:type="pct"/>
            <w:noWrap/>
            <w:vAlign w:val="center"/>
          </w:tcPr>
          <w:p w14:paraId="501559E7"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87.2%</w:t>
            </w:r>
          </w:p>
        </w:tc>
        <w:tc>
          <w:tcPr>
            <w:tcW w:w="431" w:type="pct"/>
            <w:vAlign w:val="center"/>
          </w:tcPr>
          <w:p w14:paraId="5E26DED0"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87%</w:t>
            </w:r>
          </w:p>
        </w:tc>
        <w:tc>
          <w:tcPr>
            <w:tcW w:w="284" w:type="pct"/>
            <w:tcBorders>
              <w:right w:val="single" w:sz="4" w:space="0" w:color="auto"/>
            </w:tcBorders>
            <w:vAlign w:val="center"/>
          </w:tcPr>
          <w:p w14:paraId="143EC0FC"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0.940</w:t>
            </w:r>
          </w:p>
        </w:tc>
        <w:tc>
          <w:tcPr>
            <w:tcW w:w="423" w:type="pct"/>
            <w:tcBorders>
              <w:left w:val="single" w:sz="4" w:space="0" w:color="auto"/>
            </w:tcBorders>
            <w:vAlign w:val="center"/>
          </w:tcPr>
          <w:p w14:paraId="467E3AD8"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89.6%</w:t>
            </w:r>
          </w:p>
        </w:tc>
        <w:tc>
          <w:tcPr>
            <w:tcW w:w="431" w:type="pct"/>
            <w:vAlign w:val="center"/>
          </w:tcPr>
          <w:p w14:paraId="73A44C41"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88%</w:t>
            </w:r>
          </w:p>
        </w:tc>
        <w:tc>
          <w:tcPr>
            <w:tcW w:w="284" w:type="pct"/>
            <w:tcBorders>
              <w:right w:val="single" w:sz="4" w:space="0" w:color="auto"/>
            </w:tcBorders>
            <w:vAlign w:val="center"/>
          </w:tcPr>
          <w:p w14:paraId="010E4703"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0.614</w:t>
            </w:r>
          </w:p>
        </w:tc>
        <w:tc>
          <w:tcPr>
            <w:tcW w:w="380" w:type="pct"/>
            <w:tcBorders>
              <w:left w:val="single" w:sz="4" w:space="0" w:color="auto"/>
            </w:tcBorders>
            <w:vAlign w:val="center"/>
          </w:tcPr>
          <w:p w14:paraId="1BC6F910"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84.8%</w:t>
            </w:r>
          </w:p>
        </w:tc>
        <w:tc>
          <w:tcPr>
            <w:tcW w:w="431" w:type="pct"/>
            <w:vAlign w:val="center"/>
          </w:tcPr>
          <w:p w14:paraId="3B4D8C6B"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86.1%</w:t>
            </w:r>
          </w:p>
        </w:tc>
        <w:tc>
          <w:tcPr>
            <w:tcW w:w="284" w:type="pct"/>
            <w:vAlign w:val="center"/>
          </w:tcPr>
          <w:p w14:paraId="2910AD4B"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0.724</w:t>
            </w:r>
          </w:p>
        </w:tc>
      </w:tr>
      <w:tr w:rsidR="00FF31D4" w:rsidRPr="00FF31D4" w14:paraId="193068D8" w14:textId="77777777">
        <w:trPr>
          <w:trHeight w:val="340"/>
        </w:trPr>
        <w:tc>
          <w:tcPr>
            <w:tcW w:w="1632" w:type="pct"/>
            <w:noWrap/>
            <w:vAlign w:val="center"/>
          </w:tcPr>
          <w:p w14:paraId="219EEC21" w14:textId="77777777" w:rsidR="00AC7436" w:rsidRPr="00FF31D4" w:rsidRDefault="00005B7F">
            <w:pPr>
              <w:spacing w:after="0" w:line="240" w:lineRule="auto"/>
              <w:ind w:firstLine="426"/>
              <w:jc w:val="both"/>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Cereal or cereal product for breakfast</w:t>
            </w:r>
          </w:p>
        </w:tc>
        <w:tc>
          <w:tcPr>
            <w:tcW w:w="423" w:type="pct"/>
            <w:noWrap/>
            <w:vAlign w:val="center"/>
          </w:tcPr>
          <w:p w14:paraId="68D58308"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86.4%</w:t>
            </w:r>
          </w:p>
        </w:tc>
        <w:tc>
          <w:tcPr>
            <w:tcW w:w="431" w:type="pct"/>
            <w:vAlign w:val="center"/>
          </w:tcPr>
          <w:p w14:paraId="6210A9F6"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75.1%</w:t>
            </w:r>
          </w:p>
        </w:tc>
        <w:tc>
          <w:tcPr>
            <w:tcW w:w="284" w:type="pct"/>
            <w:tcBorders>
              <w:right w:val="single" w:sz="4" w:space="0" w:color="auto"/>
            </w:tcBorders>
            <w:vAlign w:val="center"/>
          </w:tcPr>
          <w:p w14:paraId="34553D53"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hAnsi="Times New Roman" w:cs="Times New Roman"/>
                <w:sz w:val="14"/>
                <w:szCs w:val="14"/>
                <w:lang w:val="en-GB"/>
              </w:rPr>
              <w:t>&lt;0.001</w:t>
            </w:r>
          </w:p>
        </w:tc>
        <w:tc>
          <w:tcPr>
            <w:tcW w:w="423" w:type="pct"/>
            <w:tcBorders>
              <w:left w:val="single" w:sz="4" w:space="0" w:color="auto"/>
            </w:tcBorders>
            <w:vAlign w:val="center"/>
          </w:tcPr>
          <w:p w14:paraId="451E75C4"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86.5%</w:t>
            </w:r>
          </w:p>
        </w:tc>
        <w:tc>
          <w:tcPr>
            <w:tcW w:w="431" w:type="pct"/>
            <w:vAlign w:val="center"/>
          </w:tcPr>
          <w:p w14:paraId="3C98A729" w14:textId="77777777" w:rsidR="00AC7436" w:rsidRPr="00FF31D4" w:rsidRDefault="00005B7F">
            <w:pPr>
              <w:spacing w:after="0" w:line="240" w:lineRule="auto"/>
              <w:jc w:val="center"/>
              <w:rPr>
                <w:rFonts w:ascii="Times New Roman" w:hAnsi="Times New Roman" w:cs="Times New Roman"/>
                <w:sz w:val="14"/>
                <w:szCs w:val="14"/>
                <w:lang w:val="en-GB"/>
              </w:rPr>
            </w:pPr>
            <w:r w:rsidRPr="00FF31D4">
              <w:rPr>
                <w:rFonts w:ascii="Times New Roman" w:hAnsi="Times New Roman" w:cs="Times New Roman"/>
                <w:sz w:val="14"/>
                <w:szCs w:val="14"/>
                <w:lang w:val="en-GB"/>
              </w:rPr>
              <w:t>73.8%</w:t>
            </w:r>
          </w:p>
        </w:tc>
        <w:tc>
          <w:tcPr>
            <w:tcW w:w="284" w:type="pct"/>
            <w:tcBorders>
              <w:right w:val="single" w:sz="4" w:space="0" w:color="auto"/>
            </w:tcBorders>
            <w:vAlign w:val="center"/>
          </w:tcPr>
          <w:p w14:paraId="4751AA42" w14:textId="77777777" w:rsidR="00AC7436" w:rsidRPr="00FF31D4" w:rsidRDefault="00005B7F">
            <w:pPr>
              <w:spacing w:after="0" w:line="240" w:lineRule="auto"/>
              <w:jc w:val="center"/>
              <w:rPr>
                <w:rFonts w:ascii="Times New Roman" w:hAnsi="Times New Roman" w:cs="Times New Roman"/>
                <w:sz w:val="14"/>
                <w:szCs w:val="14"/>
                <w:lang w:val="en-GB"/>
              </w:rPr>
            </w:pPr>
            <w:r w:rsidRPr="00FF31D4">
              <w:rPr>
                <w:rFonts w:ascii="Times New Roman" w:hAnsi="Times New Roman" w:cs="Times New Roman"/>
                <w:sz w:val="14"/>
                <w:szCs w:val="14"/>
                <w:lang w:val="en-GB"/>
              </w:rPr>
              <w:t>0.002</w:t>
            </w:r>
          </w:p>
        </w:tc>
        <w:tc>
          <w:tcPr>
            <w:tcW w:w="380" w:type="pct"/>
            <w:tcBorders>
              <w:left w:val="single" w:sz="4" w:space="0" w:color="auto"/>
            </w:tcBorders>
            <w:vAlign w:val="center"/>
          </w:tcPr>
          <w:p w14:paraId="22FD8211"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86.4%</w:t>
            </w:r>
          </w:p>
        </w:tc>
        <w:tc>
          <w:tcPr>
            <w:tcW w:w="431" w:type="pct"/>
            <w:vAlign w:val="center"/>
          </w:tcPr>
          <w:p w14:paraId="727382B7" w14:textId="77777777" w:rsidR="00AC7436" w:rsidRPr="00FF31D4" w:rsidRDefault="00005B7F">
            <w:pPr>
              <w:spacing w:after="0" w:line="240" w:lineRule="auto"/>
              <w:jc w:val="center"/>
              <w:rPr>
                <w:rFonts w:ascii="Times New Roman" w:hAnsi="Times New Roman" w:cs="Times New Roman"/>
                <w:sz w:val="14"/>
                <w:szCs w:val="14"/>
                <w:lang w:val="en-GB"/>
              </w:rPr>
            </w:pPr>
            <w:r w:rsidRPr="00FF31D4">
              <w:rPr>
                <w:rFonts w:ascii="Times New Roman" w:hAnsi="Times New Roman" w:cs="Times New Roman"/>
                <w:sz w:val="14"/>
                <w:szCs w:val="14"/>
                <w:lang w:val="en-GB"/>
              </w:rPr>
              <w:t>76.5%</w:t>
            </w:r>
          </w:p>
        </w:tc>
        <w:tc>
          <w:tcPr>
            <w:tcW w:w="284" w:type="pct"/>
            <w:vAlign w:val="center"/>
          </w:tcPr>
          <w:p w14:paraId="546A9DB1" w14:textId="77777777" w:rsidR="00AC7436" w:rsidRPr="00FF31D4" w:rsidRDefault="00005B7F">
            <w:pPr>
              <w:spacing w:after="0" w:line="240" w:lineRule="auto"/>
              <w:jc w:val="center"/>
              <w:rPr>
                <w:rFonts w:ascii="Times New Roman" w:hAnsi="Times New Roman" w:cs="Times New Roman"/>
                <w:sz w:val="14"/>
                <w:szCs w:val="14"/>
                <w:lang w:val="en-GB"/>
              </w:rPr>
            </w:pPr>
            <w:r w:rsidRPr="00FF31D4">
              <w:rPr>
                <w:rFonts w:ascii="Times New Roman" w:hAnsi="Times New Roman" w:cs="Times New Roman"/>
                <w:sz w:val="14"/>
                <w:szCs w:val="14"/>
                <w:lang w:val="en-GB"/>
              </w:rPr>
              <w:t>0.013</w:t>
            </w:r>
          </w:p>
        </w:tc>
      </w:tr>
      <w:tr w:rsidR="00FF31D4" w:rsidRPr="00FF31D4" w14:paraId="4CA6F1F4" w14:textId="77777777">
        <w:trPr>
          <w:trHeight w:val="340"/>
        </w:trPr>
        <w:tc>
          <w:tcPr>
            <w:tcW w:w="1632" w:type="pct"/>
            <w:noWrap/>
            <w:vAlign w:val="center"/>
          </w:tcPr>
          <w:p w14:paraId="7132DC44" w14:textId="77777777" w:rsidR="00AC7436" w:rsidRPr="00FF31D4" w:rsidRDefault="00005B7F">
            <w:pPr>
              <w:spacing w:after="0" w:line="240" w:lineRule="auto"/>
              <w:ind w:firstLine="426"/>
              <w:jc w:val="both"/>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Pastries for breakfast</w:t>
            </w:r>
          </w:p>
        </w:tc>
        <w:tc>
          <w:tcPr>
            <w:tcW w:w="423" w:type="pct"/>
            <w:noWrap/>
            <w:vAlign w:val="center"/>
          </w:tcPr>
          <w:p w14:paraId="47390694"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17.8%</w:t>
            </w:r>
          </w:p>
        </w:tc>
        <w:tc>
          <w:tcPr>
            <w:tcW w:w="431" w:type="pct"/>
            <w:vAlign w:val="center"/>
          </w:tcPr>
          <w:p w14:paraId="71BE2890"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22.5%</w:t>
            </w:r>
          </w:p>
        </w:tc>
        <w:tc>
          <w:tcPr>
            <w:tcW w:w="284" w:type="pct"/>
            <w:tcBorders>
              <w:right w:val="single" w:sz="4" w:space="0" w:color="auto"/>
            </w:tcBorders>
            <w:vAlign w:val="center"/>
          </w:tcPr>
          <w:p w14:paraId="2727237C"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0.103</w:t>
            </w:r>
          </w:p>
        </w:tc>
        <w:tc>
          <w:tcPr>
            <w:tcW w:w="423" w:type="pct"/>
            <w:tcBorders>
              <w:left w:val="single" w:sz="4" w:space="0" w:color="auto"/>
            </w:tcBorders>
            <w:vAlign w:val="center"/>
          </w:tcPr>
          <w:p w14:paraId="2389199A"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20.3%</w:t>
            </w:r>
          </w:p>
        </w:tc>
        <w:tc>
          <w:tcPr>
            <w:tcW w:w="431" w:type="pct"/>
            <w:vAlign w:val="center"/>
          </w:tcPr>
          <w:p w14:paraId="5DA7DC58"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24.6%</w:t>
            </w:r>
          </w:p>
        </w:tc>
        <w:tc>
          <w:tcPr>
            <w:tcW w:w="284" w:type="pct"/>
            <w:tcBorders>
              <w:right w:val="single" w:sz="4" w:space="0" w:color="auto"/>
            </w:tcBorders>
            <w:vAlign w:val="center"/>
          </w:tcPr>
          <w:p w14:paraId="0BBD0D0A"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0.314</w:t>
            </w:r>
          </w:p>
        </w:tc>
        <w:tc>
          <w:tcPr>
            <w:tcW w:w="380" w:type="pct"/>
            <w:tcBorders>
              <w:left w:val="single" w:sz="4" w:space="0" w:color="auto"/>
            </w:tcBorders>
            <w:vAlign w:val="center"/>
          </w:tcPr>
          <w:p w14:paraId="6EA9EFC7"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15.2%</w:t>
            </w:r>
          </w:p>
        </w:tc>
        <w:tc>
          <w:tcPr>
            <w:tcW w:w="431" w:type="pct"/>
            <w:vAlign w:val="center"/>
          </w:tcPr>
          <w:p w14:paraId="08609983"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20.3%</w:t>
            </w:r>
          </w:p>
        </w:tc>
        <w:tc>
          <w:tcPr>
            <w:tcW w:w="284" w:type="pct"/>
            <w:vAlign w:val="center"/>
          </w:tcPr>
          <w:p w14:paraId="7CEDDF92"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0.191</w:t>
            </w:r>
          </w:p>
        </w:tc>
      </w:tr>
      <w:tr w:rsidR="00FF31D4" w:rsidRPr="00FF31D4" w14:paraId="202C1D63" w14:textId="77777777">
        <w:trPr>
          <w:trHeight w:val="340"/>
        </w:trPr>
        <w:tc>
          <w:tcPr>
            <w:tcW w:w="1632" w:type="pct"/>
            <w:noWrap/>
            <w:vAlign w:val="center"/>
          </w:tcPr>
          <w:p w14:paraId="3B9CF8AE" w14:textId="77777777" w:rsidR="00AC7436" w:rsidRPr="00FF31D4" w:rsidRDefault="00005B7F">
            <w:pPr>
              <w:spacing w:after="0" w:line="240" w:lineRule="auto"/>
              <w:ind w:firstLine="426"/>
              <w:jc w:val="both"/>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Fruit or fruit juice daily</w:t>
            </w:r>
          </w:p>
        </w:tc>
        <w:tc>
          <w:tcPr>
            <w:tcW w:w="423" w:type="pct"/>
            <w:noWrap/>
            <w:vAlign w:val="center"/>
          </w:tcPr>
          <w:p w14:paraId="0FFCF94A"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68.4%</w:t>
            </w:r>
          </w:p>
        </w:tc>
        <w:tc>
          <w:tcPr>
            <w:tcW w:w="431" w:type="pct"/>
            <w:vAlign w:val="center"/>
          </w:tcPr>
          <w:p w14:paraId="76F449B2"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66.1%</w:t>
            </w:r>
          </w:p>
        </w:tc>
        <w:tc>
          <w:tcPr>
            <w:tcW w:w="284" w:type="pct"/>
            <w:tcBorders>
              <w:right w:val="single" w:sz="4" w:space="0" w:color="auto"/>
            </w:tcBorders>
            <w:vAlign w:val="center"/>
          </w:tcPr>
          <w:p w14:paraId="14BC2C40"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0.505</w:t>
            </w:r>
          </w:p>
        </w:tc>
        <w:tc>
          <w:tcPr>
            <w:tcW w:w="423" w:type="pct"/>
            <w:tcBorders>
              <w:left w:val="single" w:sz="4" w:space="0" w:color="auto"/>
            </w:tcBorders>
            <w:vAlign w:val="center"/>
          </w:tcPr>
          <w:p w14:paraId="11FA4D06"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67.7%</w:t>
            </w:r>
          </w:p>
        </w:tc>
        <w:tc>
          <w:tcPr>
            <w:tcW w:w="431" w:type="pct"/>
            <w:vAlign w:val="center"/>
          </w:tcPr>
          <w:p w14:paraId="4A699461"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62.8%</w:t>
            </w:r>
          </w:p>
        </w:tc>
        <w:tc>
          <w:tcPr>
            <w:tcW w:w="284" w:type="pct"/>
            <w:tcBorders>
              <w:right w:val="single" w:sz="4" w:space="0" w:color="auto"/>
            </w:tcBorders>
            <w:vAlign w:val="center"/>
          </w:tcPr>
          <w:p w14:paraId="4F6E25BA"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0.316</w:t>
            </w:r>
          </w:p>
        </w:tc>
        <w:tc>
          <w:tcPr>
            <w:tcW w:w="380" w:type="pct"/>
            <w:tcBorders>
              <w:left w:val="single" w:sz="4" w:space="0" w:color="auto"/>
            </w:tcBorders>
            <w:vAlign w:val="center"/>
          </w:tcPr>
          <w:p w14:paraId="4FAA3E44"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69.1%</w:t>
            </w:r>
          </w:p>
        </w:tc>
        <w:tc>
          <w:tcPr>
            <w:tcW w:w="431" w:type="pct"/>
            <w:vAlign w:val="center"/>
          </w:tcPr>
          <w:p w14:paraId="51238D8B"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69.5%</w:t>
            </w:r>
          </w:p>
        </w:tc>
        <w:tc>
          <w:tcPr>
            <w:tcW w:w="284" w:type="pct"/>
            <w:vAlign w:val="center"/>
          </w:tcPr>
          <w:p w14:paraId="5BF9FB57"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0.931</w:t>
            </w:r>
          </w:p>
        </w:tc>
      </w:tr>
      <w:tr w:rsidR="00FF31D4" w:rsidRPr="00FF31D4" w14:paraId="799423B7" w14:textId="77777777">
        <w:trPr>
          <w:trHeight w:val="340"/>
        </w:trPr>
        <w:tc>
          <w:tcPr>
            <w:tcW w:w="1632" w:type="pct"/>
            <w:noWrap/>
            <w:vAlign w:val="center"/>
          </w:tcPr>
          <w:p w14:paraId="57701E34" w14:textId="77777777" w:rsidR="00AC7436" w:rsidRPr="00FF31D4" w:rsidRDefault="00005B7F">
            <w:pPr>
              <w:spacing w:after="0" w:line="240" w:lineRule="auto"/>
              <w:ind w:firstLine="426"/>
              <w:jc w:val="both"/>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Second serving of fruit daily</w:t>
            </w:r>
          </w:p>
        </w:tc>
        <w:tc>
          <w:tcPr>
            <w:tcW w:w="423" w:type="pct"/>
            <w:noWrap/>
            <w:vAlign w:val="center"/>
          </w:tcPr>
          <w:p w14:paraId="0343966C"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55.6%</w:t>
            </w:r>
          </w:p>
        </w:tc>
        <w:tc>
          <w:tcPr>
            <w:tcW w:w="431" w:type="pct"/>
            <w:vAlign w:val="center"/>
          </w:tcPr>
          <w:p w14:paraId="52EE656E"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42.3%</w:t>
            </w:r>
          </w:p>
        </w:tc>
        <w:tc>
          <w:tcPr>
            <w:tcW w:w="284" w:type="pct"/>
            <w:tcBorders>
              <w:right w:val="single" w:sz="4" w:space="0" w:color="auto"/>
            </w:tcBorders>
            <w:vAlign w:val="center"/>
          </w:tcPr>
          <w:p w14:paraId="1EB60FA5"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hAnsi="Times New Roman" w:cs="Times New Roman"/>
                <w:sz w:val="14"/>
                <w:szCs w:val="14"/>
                <w:lang w:val="en-GB"/>
              </w:rPr>
              <w:t>&lt;0.001</w:t>
            </w:r>
          </w:p>
        </w:tc>
        <w:tc>
          <w:tcPr>
            <w:tcW w:w="423" w:type="pct"/>
            <w:tcBorders>
              <w:left w:val="single" w:sz="4" w:space="0" w:color="auto"/>
            </w:tcBorders>
            <w:vAlign w:val="center"/>
          </w:tcPr>
          <w:p w14:paraId="4982FFE3"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53.6%</w:t>
            </w:r>
          </w:p>
        </w:tc>
        <w:tc>
          <w:tcPr>
            <w:tcW w:w="431" w:type="pct"/>
            <w:vAlign w:val="center"/>
          </w:tcPr>
          <w:p w14:paraId="419F843A" w14:textId="77777777" w:rsidR="00AC7436" w:rsidRPr="00FF31D4" w:rsidRDefault="00005B7F">
            <w:pPr>
              <w:spacing w:after="0" w:line="240" w:lineRule="auto"/>
              <w:jc w:val="center"/>
              <w:rPr>
                <w:rFonts w:ascii="Times New Roman" w:hAnsi="Times New Roman" w:cs="Times New Roman"/>
                <w:sz w:val="14"/>
                <w:szCs w:val="14"/>
                <w:lang w:val="en-GB"/>
              </w:rPr>
            </w:pPr>
            <w:r w:rsidRPr="00FF31D4">
              <w:rPr>
                <w:rFonts w:ascii="Times New Roman" w:hAnsi="Times New Roman" w:cs="Times New Roman"/>
                <w:sz w:val="14"/>
                <w:szCs w:val="14"/>
                <w:lang w:val="en-GB"/>
              </w:rPr>
              <w:t>41.4%</w:t>
            </w:r>
          </w:p>
        </w:tc>
        <w:tc>
          <w:tcPr>
            <w:tcW w:w="284" w:type="pct"/>
            <w:tcBorders>
              <w:right w:val="single" w:sz="4" w:space="0" w:color="auto"/>
            </w:tcBorders>
            <w:vAlign w:val="center"/>
          </w:tcPr>
          <w:p w14:paraId="1FA079F7" w14:textId="77777777" w:rsidR="00AC7436" w:rsidRPr="00FF31D4" w:rsidRDefault="00005B7F">
            <w:pPr>
              <w:spacing w:after="0" w:line="240" w:lineRule="auto"/>
              <w:jc w:val="center"/>
              <w:rPr>
                <w:rFonts w:ascii="Times New Roman" w:hAnsi="Times New Roman" w:cs="Times New Roman"/>
                <w:sz w:val="14"/>
                <w:szCs w:val="14"/>
                <w:lang w:val="en-GB"/>
              </w:rPr>
            </w:pPr>
            <w:r w:rsidRPr="00FF31D4">
              <w:rPr>
                <w:rFonts w:ascii="Times New Roman" w:hAnsi="Times New Roman" w:cs="Times New Roman"/>
                <w:sz w:val="14"/>
                <w:szCs w:val="14"/>
                <w:lang w:val="en-GB"/>
              </w:rPr>
              <w:t>0.016</w:t>
            </w:r>
          </w:p>
        </w:tc>
        <w:tc>
          <w:tcPr>
            <w:tcW w:w="380" w:type="pct"/>
            <w:tcBorders>
              <w:left w:val="single" w:sz="4" w:space="0" w:color="auto"/>
            </w:tcBorders>
            <w:vAlign w:val="center"/>
          </w:tcPr>
          <w:p w14:paraId="6A73CADA"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57.6%</w:t>
            </w:r>
          </w:p>
        </w:tc>
        <w:tc>
          <w:tcPr>
            <w:tcW w:w="431" w:type="pct"/>
            <w:vAlign w:val="center"/>
          </w:tcPr>
          <w:p w14:paraId="7739EA07" w14:textId="77777777" w:rsidR="00AC7436" w:rsidRPr="00FF31D4" w:rsidRDefault="00005B7F">
            <w:pPr>
              <w:spacing w:after="0" w:line="240" w:lineRule="auto"/>
              <w:jc w:val="center"/>
              <w:rPr>
                <w:rFonts w:ascii="Times New Roman" w:hAnsi="Times New Roman" w:cs="Times New Roman"/>
                <w:sz w:val="14"/>
                <w:szCs w:val="14"/>
                <w:lang w:val="en-GB"/>
              </w:rPr>
            </w:pPr>
            <w:r w:rsidRPr="00FF31D4">
              <w:rPr>
                <w:rFonts w:ascii="Times New Roman" w:hAnsi="Times New Roman" w:cs="Times New Roman"/>
                <w:sz w:val="14"/>
                <w:szCs w:val="14"/>
                <w:lang w:val="en-GB"/>
              </w:rPr>
              <w:t>42.4%</w:t>
            </w:r>
          </w:p>
        </w:tc>
        <w:tc>
          <w:tcPr>
            <w:tcW w:w="284" w:type="pct"/>
            <w:vAlign w:val="center"/>
          </w:tcPr>
          <w:p w14:paraId="03D410C6" w14:textId="77777777" w:rsidR="00AC7436" w:rsidRPr="00FF31D4" w:rsidRDefault="00005B7F">
            <w:pPr>
              <w:spacing w:after="0" w:line="240" w:lineRule="auto"/>
              <w:jc w:val="center"/>
              <w:rPr>
                <w:rFonts w:ascii="Times New Roman" w:hAnsi="Times New Roman" w:cs="Times New Roman"/>
                <w:sz w:val="14"/>
                <w:szCs w:val="14"/>
                <w:lang w:val="en-GB"/>
              </w:rPr>
            </w:pPr>
            <w:r w:rsidRPr="00FF31D4">
              <w:rPr>
                <w:rFonts w:ascii="Times New Roman" w:hAnsi="Times New Roman" w:cs="Times New Roman"/>
                <w:sz w:val="14"/>
                <w:szCs w:val="14"/>
                <w:lang w:val="en-GB"/>
              </w:rPr>
              <w:t>0.006</w:t>
            </w:r>
          </w:p>
        </w:tc>
      </w:tr>
      <w:tr w:rsidR="00FF31D4" w:rsidRPr="00FF31D4" w14:paraId="63D80132" w14:textId="77777777">
        <w:trPr>
          <w:trHeight w:val="340"/>
        </w:trPr>
        <w:tc>
          <w:tcPr>
            <w:tcW w:w="1632" w:type="pct"/>
            <w:noWrap/>
            <w:vAlign w:val="center"/>
          </w:tcPr>
          <w:p w14:paraId="432B0EA1" w14:textId="77777777" w:rsidR="00AC7436" w:rsidRPr="00FF31D4" w:rsidRDefault="00005B7F">
            <w:pPr>
              <w:spacing w:after="0" w:line="240" w:lineRule="auto"/>
              <w:ind w:firstLine="426"/>
              <w:jc w:val="both"/>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Second serving of dairy products daily</w:t>
            </w:r>
          </w:p>
        </w:tc>
        <w:tc>
          <w:tcPr>
            <w:tcW w:w="423" w:type="pct"/>
            <w:noWrap/>
            <w:vAlign w:val="center"/>
          </w:tcPr>
          <w:p w14:paraId="65DD06BC"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71%</w:t>
            </w:r>
          </w:p>
        </w:tc>
        <w:tc>
          <w:tcPr>
            <w:tcW w:w="431" w:type="pct"/>
            <w:vAlign w:val="center"/>
          </w:tcPr>
          <w:p w14:paraId="6B5848BD"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74.6%</w:t>
            </w:r>
          </w:p>
        </w:tc>
        <w:tc>
          <w:tcPr>
            <w:tcW w:w="284" w:type="pct"/>
            <w:tcBorders>
              <w:right w:val="single" w:sz="4" w:space="0" w:color="auto"/>
            </w:tcBorders>
            <w:vAlign w:val="center"/>
          </w:tcPr>
          <w:p w14:paraId="34EB70D3"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0.267</w:t>
            </w:r>
          </w:p>
        </w:tc>
        <w:tc>
          <w:tcPr>
            <w:tcW w:w="423" w:type="pct"/>
            <w:tcBorders>
              <w:left w:val="single" w:sz="4" w:space="0" w:color="auto"/>
            </w:tcBorders>
            <w:vAlign w:val="center"/>
          </w:tcPr>
          <w:p w14:paraId="4754135D"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69.8%</w:t>
            </w:r>
          </w:p>
        </w:tc>
        <w:tc>
          <w:tcPr>
            <w:tcW w:w="431" w:type="pct"/>
            <w:vAlign w:val="center"/>
          </w:tcPr>
          <w:p w14:paraId="7F779FE9"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74.3%</w:t>
            </w:r>
          </w:p>
        </w:tc>
        <w:tc>
          <w:tcPr>
            <w:tcW w:w="284" w:type="pct"/>
            <w:tcBorders>
              <w:right w:val="single" w:sz="4" w:space="0" w:color="auto"/>
            </w:tcBorders>
            <w:vAlign w:val="center"/>
          </w:tcPr>
          <w:p w14:paraId="2B3EB8A3"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0.321</w:t>
            </w:r>
          </w:p>
        </w:tc>
        <w:tc>
          <w:tcPr>
            <w:tcW w:w="380" w:type="pct"/>
            <w:tcBorders>
              <w:left w:val="single" w:sz="4" w:space="0" w:color="auto"/>
            </w:tcBorders>
            <w:vAlign w:val="center"/>
          </w:tcPr>
          <w:p w14:paraId="203E1CF5"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72.3%</w:t>
            </w:r>
          </w:p>
        </w:tc>
        <w:tc>
          <w:tcPr>
            <w:tcW w:w="431" w:type="pct"/>
            <w:vAlign w:val="center"/>
          </w:tcPr>
          <w:p w14:paraId="09E9B162"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74.9%</w:t>
            </w:r>
          </w:p>
        </w:tc>
        <w:tc>
          <w:tcPr>
            <w:tcW w:w="284" w:type="pct"/>
            <w:vAlign w:val="center"/>
          </w:tcPr>
          <w:p w14:paraId="6546AFED"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0.564</w:t>
            </w:r>
          </w:p>
        </w:tc>
      </w:tr>
      <w:tr w:rsidR="00FF31D4" w:rsidRPr="00FF31D4" w14:paraId="04F04F6E" w14:textId="77777777">
        <w:trPr>
          <w:trHeight w:val="340"/>
        </w:trPr>
        <w:tc>
          <w:tcPr>
            <w:tcW w:w="1632" w:type="pct"/>
            <w:noWrap/>
            <w:vAlign w:val="center"/>
          </w:tcPr>
          <w:p w14:paraId="70B2BCCB" w14:textId="77777777" w:rsidR="00AC7436" w:rsidRPr="00FF31D4" w:rsidRDefault="00005B7F">
            <w:pPr>
              <w:spacing w:after="0" w:line="240" w:lineRule="auto"/>
              <w:ind w:firstLine="426"/>
              <w:jc w:val="both"/>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Fresh or cooked vegetables daily</w:t>
            </w:r>
          </w:p>
        </w:tc>
        <w:tc>
          <w:tcPr>
            <w:tcW w:w="423" w:type="pct"/>
            <w:noWrap/>
            <w:vAlign w:val="center"/>
          </w:tcPr>
          <w:p w14:paraId="1401AB97"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74.4%</w:t>
            </w:r>
          </w:p>
        </w:tc>
        <w:tc>
          <w:tcPr>
            <w:tcW w:w="431" w:type="pct"/>
            <w:vAlign w:val="center"/>
          </w:tcPr>
          <w:p w14:paraId="1F206C71"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71.2%</w:t>
            </w:r>
          </w:p>
        </w:tc>
        <w:tc>
          <w:tcPr>
            <w:tcW w:w="284" w:type="pct"/>
            <w:tcBorders>
              <w:right w:val="single" w:sz="4" w:space="0" w:color="auto"/>
            </w:tcBorders>
            <w:vAlign w:val="center"/>
          </w:tcPr>
          <w:p w14:paraId="39ECE173"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0.314</w:t>
            </w:r>
          </w:p>
        </w:tc>
        <w:tc>
          <w:tcPr>
            <w:tcW w:w="423" w:type="pct"/>
            <w:tcBorders>
              <w:left w:val="single" w:sz="4" w:space="0" w:color="auto"/>
            </w:tcBorders>
            <w:vAlign w:val="center"/>
          </w:tcPr>
          <w:p w14:paraId="4F91CDAC"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69.8%</w:t>
            </w:r>
          </w:p>
        </w:tc>
        <w:tc>
          <w:tcPr>
            <w:tcW w:w="431" w:type="pct"/>
            <w:vAlign w:val="center"/>
          </w:tcPr>
          <w:p w14:paraId="278C119C"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66%</w:t>
            </w:r>
          </w:p>
        </w:tc>
        <w:tc>
          <w:tcPr>
            <w:tcW w:w="284" w:type="pct"/>
            <w:tcBorders>
              <w:right w:val="single" w:sz="4" w:space="0" w:color="auto"/>
            </w:tcBorders>
            <w:vAlign w:val="center"/>
          </w:tcPr>
          <w:p w14:paraId="438C4425"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0.423</w:t>
            </w:r>
          </w:p>
        </w:tc>
        <w:tc>
          <w:tcPr>
            <w:tcW w:w="380" w:type="pct"/>
            <w:tcBorders>
              <w:left w:val="single" w:sz="4" w:space="0" w:color="auto"/>
            </w:tcBorders>
            <w:vAlign w:val="center"/>
          </w:tcPr>
          <w:p w14:paraId="771F1B4D"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79.1%</w:t>
            </w:r>
          </w:p>
        </w:tc>
        <w:tc>
          <w:tcPr>
            <w:tcW w:w="431" w:type="pct"/>
            <w:vAlign w:val="center"/>
          </w:tcPr>
          <w:p w14:paraId="7F674D55"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76.5%</w:t>
            </w:r>
          </w:p>
        </w:tc>
        <w:tc>
          <w:tcPr>
            <w:tcW w:w="284" w:type="pct"/>
            <w:vAlign w:val="center"/>
          </w:tcPr>
          <w:p w14:paraId="390EB987"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0.545</w:t>
            </w:r>
          </w:p>
        </w:tc>
      </w:tr>
      <w:tr w:rsidR="00FF31D4" w:rsidRPr="00FF31D4" w14:paraId="54305023" w14:textId="77777777">
        <w:trPr>
          <w:trHeight w:val="340"/>
        </w:trPr>
        <w:tc>
          <w:tcPr>
            <w:tcW w:w="1632" w:type="pct"/>
            <w:noWrap/>
            <w:vAlign w:val="center"/>
          </w:tcPr>
          <w:p w14:paraId="1223EB35" w14:textId="77777777" w:rsidR="00AC7436" w:rsidRPr="00FF31D4" w:rsidRDefault="00005B7F">
            <w:pPr>
              <w:spacing w:after="0" w:line="240" w:lineRule="auto"/>
              <w:ind w:firstLine="426"/>
              <w:jc w:val="both"/>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Fresh or cooked vegetables &gt; 1/day</w:t>
            </w:r>
          </w:p>
        </w:tc>
        <w:tc>
          <w:tcPr>
            <w:tcW w:w="423" w:type="pct"/>
            <w:noWrap/>
            <w:vAlign w:val="center"/>
          </w:tcPr>
          <w:p w14:paraId="0703053B"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34.2%</w:t>
            </w:r>
          </w:p>
        </w:tc>
        <w:tc>
          <w:tcPr>
            <w:tcW w:w="431" w:type="pct"/>
            <w:vAlign w:val="center"/>
          </w:tcPr>
          <w:p w14:paraId="19EC6C06"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31.2%</w:t>
            </w:r>
          </w:p>
        </w:tc>
        <w:tc>
          <w:tcPr>
            <w:tcW w:w="284" w:type="pct"/>
            <w:tcBorders>
              <w:right w:val="single" w:sz="4" w:space="0" w:color="auto"/>
            </w:tcBorders>
            <w:vAlign w:val="center"/>
          </w:tcPr>
          <w:p w14:paraId="1DF8CF84"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0.380</w:t>
            </w:r>
          </w:p>
        </w:tc>
        <w:tc>
          <w:tcPr>
            <w:tcW w:w="423" w:type="pct"/>
            <w:tcBorders>
              <w:left w:val="single" w:sz="4" w:space="0" w:color="auto"/>
            </w:tcBorders>
            <w:vAlign w:val="center"/>
          </w:tcPr>
          <w:p w14:paraId="6D3DAA4E"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29.2%</w:t>
            </w:r>
          </w:p>
        </w:tc>
        <w:tc>
          <w:tcPr>
            <w:tcW w:w="431" w:type="pct"/>
            <w:vAlign w:val="center"/>
          </w:tcPr>
          <w:p w14:paraId="71BB6ABE"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24.6%</w:t>
            </w:r>
          </w:p>
        </w:tc>
        <w:tc>
          <w:tcPr>
            <w:tcW w:w="284" w:type="pct"/>
            <w:tcBorders>
              <w:right w:val="single" w:sz="4" w:space="0" w:color="auto"/>
            </w:tcBorders>
            <w:vAlign w:val="center"/>
          </w:tcPr>
          <w:p w14:paraId="3DFAF754"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0.314</w:t>
            </w:r>
          </w:p>
        </w:tc>
        <w:tc>
          <w:tcPr>
            <w:tcW w:w="380" w:type="pct"/>
            <w:tcBorders>
              <w:left w:val="single" w:sz="4" w:space="0" w:color="auto"/>
            </w:tcBorders>
            <w:vAlign w:val="center"/>
          </w:tcPr>
          <w:p w14:paraId="5FEF388A"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39.3%</w:t>
            </w:r>
          </w:p>
        </w:tc>
        <w:tc>
          <w:tcPr>
            <w:tcW w:w="431" w:type="pct"/>
            <w:vAlign w:val="center"/>
          </w:tcPr>
          <w:p w14:paraId="7758FCF7"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38%</w:t>
            </w:r>
          </w:p>
        </w:tc>
        <w:tc>
          <w:tcPr>
            <w:tcW w:w="284" w:type="pct"/>
            <w:vAlign w:val="center"/>
          </w:tcPr>
          <w:p w14:paraId="2BED9315"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0.795</w:t>
            </w:r>
          </w:p>
        </w:tc>
      </w:tr>
      <w:tr w:rsidR="00FF31D4" w:rsidRPr="00FF31D4" w14:paraId="3131F927" w14:textId="77777777">
        <w:trPr>
          <w:trHeight w:val="340"/>
        </w:trPr>
        <w:tc>
          <w:tcPr>
            <w:tcW w:w="1632" w:type="pct"/>
            <w:noWrap/>
            <w:vAlign w:val="center"/>
          </w:tcPr>
          <w:p w14:paraId="5C7F41CE" w14:textId="77777777" w:rsidR="00AC7436" w:rsidRPr="00FF31D4" w:rsidRDefault="00005B7F">
            <w:pPr>
              <w:spacing w:after="0" w:line="240" w:lineRule="auto"/>
              <w:ind w:firstLine="426"/>
              <w:jc w:val="both"/>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Fish regularly ( ≥ 2 – 3/week)</w:t>
            </w:r>
          </w:p>
        </w:tc>
        <w:tc>
          <w:tcPr>
            <w:tcW w:w="423" w:type="pct"/>
            <w:noWrap/>
            <w:vAlign w:val="center"/>
          </w:tcPr>
          <w:p w14:paraId="190C55AD"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69.2%</w:t>
            </w:r>
          </w:p>
        </w:tc>
        <w:tc>
          <w:tcPr>
            <w:tcW w:w="431" w:type="pct"/>
            <w:vAlign w:val="center"/>
          </w:tcPr>
          <w:p w14:paraId="093F9F86"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60.3%</w:t>
            </w:r>
          </w:p>
        </w:tc>
        <w:tc>
          <w:tcPr>
            <w:tcW w:w="284" w:type="pct"/>
            <w:tcBorders>
              <w:right w:val="single" w:sz="4" w:space="0" w:color="auto"/>
            </w:tcBorders>
            <w:vAlign w:val="center"/>
          </w:tcPr>
          <w:p w14:paraId="68D78AB4"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0.010</w:t>
            </w:r>
          </w:p>
        </w:tc>
        <w:tc>
          <w:tcPr>
            <w:tcW w:w="423" w:type="pct"/>
            <w:tcBorders>
              <w:left w:val="single" w:sz="4" w:space="0" w:color="auto"/>
            </w:tcBorders>
            <w:vAlign w:val="center"/>
          </w:tcPr>
          <w:p w14:paraId="2FF10FFB"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68.2%</w:t>
            </w:r>
          </w:p>
        </w:tc>
        <w:tc>
          <w:tcPr>
            <w:tcW w:w="431" w:type="pct"/>
            <w:vAlign w:val="center"/>
          </w:tcPr>
          <w:p w14:paraId="4DFEDBF0"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60.7%</w:t>
            </w:r>
          </w:p>
        </w:tc>
        <w:tc>
          <w:tcPr>
            <w:tcW w:w="284" w:type="pct"/>
            <w:tcBorders>
              <w:right w:val="single" w:sz="4" w:space="0" w:color="auto"/>
            </w:tcBorders>
            <w:vAlign w:val="center"/>
          </w:tcPr>
          <w:p w14:paraId="4548522A"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0.125</w:t>
            </w:r>
          </w:p>
        </w:tc>
        <w:tc>
          <w:tcPr>
            <w:tcW w:w="380" w:type="pct"/>
            <w:tcBorders>
              <w:left w:val="single" w:sz="4" w:space="0" w:color="auto"/>
            </w:tcBorders>
            <w:vAlign w:val="center"/>
          </w:tcPr>
          <w:p w14:paraId="0284F625"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70.2%</w:t>
            </w:r>
          </w:p>
        </w:tc>
        <w:tc>
          <w:tcPr>
            <w:tcW w:w="431" w:type="pct"/>
            <w:vAlign w:val="center"/>
          </w:tcPr>
          <w:p w14:paraId="41E39799"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59.9%</w:t>
            </w:r>
          </w:p>
        </w:tc>
        <w:tc>
          <w:tcPr>
            <w:tcW w:w="284" w:type="pct"/>
            <w:vAlign w:val="center"/>
          </w:tcPr>
          <w:p w14:paraId="533B9E3A"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0.036</w:t>
            </w:r>
          </w:p>
        </w:tc>
      </w:tr>
      <w:tr w:rsidR="00FF31D4" w:rsidRPr="00FF31D4" w14:paraId="0A9E4059" w14:textId="77777777">
        <w:trPr>
          <w:trHeight w:val="340"/>
        </w:trPr>
        <w:tc>
          <w:tcPr>
            <w:tcW w:w="1632" w:type="pct"/>
            <w:noWrap/>
            <w:vAlign w:val="center"/>
          </w:tcPr>
          <w:p w14:paraId="65301E17" w14:textId="77777777" w:rsidR="00AC7436" w:rsidRPr="00FF31D4" w:rsidRDefault="00005B7F">
            <w:pPr>
              <w:spacing w:after="0" w:line="240" w:lineRule="auto"/>
              <w:ind w:firstLine="426"/>
              <w:jc w:val="both"/>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Nuts regularly ( ≥ 2 – 3/week)</w:t>
            </w:r>
          </w:p>
        </w:tc>
        <w:tc>
          <w:tcPr>
            <w:tcW w:w="423" w:type="pct"/>
            <w:noWrap/>
            <w:vAlign w:val="center"/>
          </w:tcPr>
          <w:p w14:paraId="01FF38CB"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51.4%</w:t>
            </w:r>
          </w:p>
        </w:tc>
        <w:tc>
          <w:tcPr>
            <w:tcW w:w="431" w:type="pct"/>
            <w:vAlign w:val="center"/>
          </w:tcPr>
          <w:p w14:paraId="37326E75"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43.7%</w:t>
            </w:r>
          </w:p>
        </w:tc>
        <w:tc>
          <w:tcPr>
            <w:tcW w:w="284" w:type="pct"/>
            <w:tcBorders>
              <w:right w:val="single" w:sz="4" w:space="0" w:color="auto"/>
            </w:tcBorders>
            <w:vAlign w:val="center"/>
          </w:tcPr>
          <w:p w14:paraId="24C44684"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0.032</w:t>
            </w:r>
          </w:p>
        </w:tc>
        <w:tc>
          <w:tcPr>
            <w:tcW w:w="423" w:type="pct"/>
            <w:tcBorders>
              <w:left w:val="single" w:sz="4" w:space="0" w:color="auto"/>
            </w:tcBorders>
            <w:vAlign w:val="center"/>
          </w:tcPr>
          <w:p w14:paraId="18D1EF6D"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54.7%</w:t>
            </w:r>
          </w:p>
        </w:tc>
        <w:tc>
          <w:tcPr>
            <w:tcW w:w="431" w:type="pct"/>
            <w:vAlign w:val="center"/>
          </w:tcPr>
          <w:p w14:paraId="48DAE849"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45%</w:t>
            </w:r>
          </w:p>
        </w:tc>
        <w:tc>
          <w:tcPr>
            <w:tcW w:w="284" w:type="pct"/>
            <w:tcBorders>
              <w:right w:val="single" w:sz="4" w:space="0" w:color="auto"/>
            </w:tcBorders>
            <w:vAlign w:val="center"/>
          </w:tcPr>
          <w:p w14:paraId="110E217F"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0.059</w:t>
            </w:r>
          </w:p>
        </w:tc>
        <w:tc>
          <w:tcPr>
            <w:tcW w:w="380" w:type="pct"/>
            <w:tcBorders>
              <w:left w:val="single" w:sz="4" w:space="0" w:color="auto"/>
            </w:tcBorders>
            <w:vAlign w:val="center"/>
          </w:tcPr>
          <w:p w14:paraId="6627CAF8"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48.2%</w:t>
            </w:r>
          </w:p>
        </w:tc>
        <w:tc>
          <w:tcPr>
            <w:tcW w:w="431" w:type="pct"/>
            <w:vAlign w:val="center"/>
          </w:tcPr>
          <w:p w14:paraId="1FA27106"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42.2%</w:t>
            </w:r>
          </w:p>
        </w:tc>
        <w:tc>
          <w:tcPr>
            <w:tcW w:w="284" w:type="pct"/>
            <w:vAlign w:val="center"/>
          </w:tcPr>
          <w:p w14:paraId="35D6C05B"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0.247</w:t>
            </w:r>
          </w:p>
        </w:tc>
      </w:tr>
      <w:tr w:rsidR="00FF31D4" w:rsidRPr="00FF31D4" w14:paraId="272954FD" w14:textId="77777777">
        <w:trPr>
          <w:trHeight w:val="340"/>
        </w:trPr>
        <w:tc>
          <w:tcPr>
            <w:tcW w:w="1632" w:type="pct"/>
            <w:noWrap/>
            <w:vAlign w:val="center"/>
          </w:tcPr>
          <w:p w14:paraId="74174F46" w14:textId="77777777" w:rsidR="00AC7436" w:rsidRPr="00FF31D4" w:rsidRDefault="00005B7F">
            <w:pPr>
              <w:spacing w:after="0" w:line="240" w:lineRule="auto"/>
              <w:ind w:firstLine="426"/>
              <w:jc w:val="both"/>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Fast food restaurants &gt; 1/week</w:t>
            </w:r>
          </w:p>
        </w:tc>
        <w:tc>
          <w:tcPr>
            <w:tcW w:w="423" w:type="pct"/>
            <w:noWrap/>
            <w:vAlign w:val="center"/>
          </w:tcPr>
          <w:p w14:paraId="3D49326E"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16.7%</w:t>
            </w:r>
          </w:p>
        </w:tc>
        <w:tc>
          <w:tcPr>
            <w:tcW w:w="431" w:type="pct"/>
            <w:vAlign w:val="center"/>
          </w:tcPr>
          <w:p w14:paraId="3C20857F"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22.5%</w:t>
            </w:r>
          </w:p>
        </w:tc>
        <w:tc>
          <w:tcPr>
            <w:tcW w:w="284" w:type="pct"/>
            <w:tcBorders>
              <w:right w:val="single" w:sz="4" w:space="0" w:color="auto"/>
            </w:tcBorders>
            <w:vAlign w:val="center"/>
          </w:tcPr>
          <w:p w14:paraId="46AE2351"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0.045</w:t>
            </w:r>
          </w:p>
        </w:tc>
        <w:tc>
          <w:tcPr>
            <w:tcW w:w="423" w:type="pct"/>
            <w:tcBorders>
              <w:left w:val="single" w:sz="4" w:space="0" w:color="auto"/>
            </w:tcBorders>
            <w:vAlign w:val="center"/>
          </w:tcPr>
          <w:p w14:paraId="218DAD86"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16.7%</w:t>
            </w:r>
          </w:p>
        </w:tc>
        <w:tc>
          <w:tcPr>
            <w:tcW w:w="431" w:type="pct"/>
            <w:vAlign w:val="center"/>
          </w:tcPr>
          <w:p w14:paraId="5346B203"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25.1%</w:t>
            </w:r>
          </w:p>
        </w:tc>
        <w:tc>
          <w:tcPr>
            <w:tcW w:w="284" w:type="pct"/>
            <w:tcBorders>
              <w:right w:val="single" w:sz="4" w:space="0" w:color="auto"/>
            </w:tcBorders>
            <w:vAlign w:val="center"/>
          </w:tcPr>
          <w:p w14:paraId="5A28101A"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0.042</w:t>
            </w:r>
          </w:p>
        </w:tc>
        <w:tc>
          <w:tcPr>
            <w:tcW w:w="380" w:type="pct"/>
            <w:tcBorders>
              <w:left w:val="single" w:sz="4" w:space="0" w:color="auto"/>
            </w:tcBorders>
            <w:vAlign w:val="center"/>
          </w:tcPr>
          <w:p w14:paraId="4DFEAEAE"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16.8%</w:t>
            </w:r>
          </w:p>
        </w:tc>
        <w:tc>
          <w:tcPr>
            <w:tcW w:w="431" w:type="pct"/>
            <w:vAlign w:val="center"/>
          </w:tcPr>
          <w:p w14:paraId="3E801F01"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19.8%</w:t>
            </w:r>
          </w:p>
        </w:tc>
        <w:tc>
          <w:tcPr>
            <w:tcW w:w="284" w:type="pct"/>
            <w:vAlign w:val="center"/>
          </w:tcPr>
          <w:p w14:paraId="54324261"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0.445</w:t>
            </w:r>
          </w:p>
        </w:tc>
      </w:tr>
      <w:tr w:rsidR="00FF31D4" w:rsidRPr="00FF31D4" w14:paraId="78AE3196" w14:textId="77777777">
        <w:trPr>
          <w:trHeight w:val="340"/>
        </w:trPr>
        <w:tc>
          <w:tcPr>
            <w:tcW w:w="1632" w:type="pct"/>
            <w:noWrap/>
            <w:vAlign w:val="center"/>
          </w:tcPr>
          <w:p w14:paraId="77AE27E7" w14:textId="77777777" w:rsidR="00AC7436" w:rsidRPr="00FF31D4" w:rsidRDefault="00005B7F">
            <w:pPr>
              <w:spacing w:after="0" w:line="240" w:lineRule="auto"/>
              <w:ind w:firstLine="426"/>
              <w:jc w:val="both"/>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Pulses &gt;1/week</w:t>
            </w:r>
          </w:p>
        </w:tc>
        <w:tc>
          <w:tcPr>
            <w:tcW w:w="423" w:type="pct"/>
            <w:noWrap/>
            <w:vAlign w:val="center"/>
          </w:tcPr>
          <w:p w14:paraId="6F3DB962"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81.5%</w:t>
            </w:r>
          </w:p>
        </w:tc>
        <w:tc>
          <w:tcPr>
            <w:tcW w:w="431" w:type="pct"/>
            <w:vAlign w:val="center"/>
          </w:tcPr>
          <w:p w14:paraId="2DFDD72B"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86.8%</w:t>
            </w:r>
          </w:p>
        </w:tc>
        <w:tc>
          <w:tcPr>
            <w:tcW w:w="284" w:type="pct"/>
            <w:tcBorders>
              <w:right w:val="single" w:sz="4" w:space="0" w:color="auto"/>
            </w:tcBorders>
            <w:vAlign w:val="center"/>
          </w:tcPr>
          <w:p w14:paraId="7E345C1E"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0.045</w:t>
            </w:r>
          </w:p>
        </w:tc>
        <w:tc>
          <w:tcPr>
            <w:tcW w:w="423" w:type="pct"/>
            <w:tcBorders>
              <w:left w:val="single" w:sz="4" w:space="0" w:color="auto"/>
            </w:tcBorders>
            <w:vAlign w:val="center"/>
          </w:tcPr>
          <w:p w14:paraId="39BEE063"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80.2%</w:t>
            </w:r>
          </w:p>
        </w:tc>
        <w:tc>
          <w:tcPr>
            <w:tcW w:w="431" w:type="pct"/>
            <w:vAlign w:val="center"/>
          </w:tcPr>
          <w:p w14:paraId="6AB3089C"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85.9%</w:t>
            </w:r>
          </w:p>
        </w:tc>
        <w:tc>
          <w:tcPr>
            <w:tcW w:w="284" w:type="pct"/>
            <w:tcBorders>
              <w:right w:val="single" w:sz="4" w:space="0" w:color="auto"/>
            </w:tcBorders>
            <w:vAlign w:val="center"/>
          </w:tcPr>
          <w:p w14:paraId="715E2FEC"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0.140</w:t>
            </w:r>
          </w:p>
        </w:tc>
        <w:tc>
          <w:tcPr>
            <w:tcW w:w="380" w:type="pct"/>
            <w:tcBorders>
              <w:left w:val="single" w:sz="4" w:space="0" w:color="auto"/>
            </w:tcBorders>
            <w:vAlign w:val="center"/>
          </w:tcPr>
          <w:p w14:paraId="4561561D"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82.7%</w:t>
            </w:r>
          </w:p>
        </w:tc>
        <w:tc>
          <w:tcPr>
            <w:tcW w:w="431" w:type="pct"/>
            <w:vAlign w:val="center"/>
          </w:tcPr>
          <w:p w14:paraId="4231673C"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87.7%</w:t>
            </w:r>
          </w:p>
        </w:tc>
        <w:tc>
          <w:tcPr>
            <w:tcW w:w="284" w:type="pct"/>
            <w:vAlign w:val="center"/>
          </w:tcPr>
          <w:p w14:paraId="7C523452"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0.173</w:t>
            </w:r>
          </w:p>
        </w:tc>
      </w:tr>
      <w:tr w:rsidR="00FF31D4" w:rsidRPr="00FF31D4" w14:paraId="5E67D7C5" w14:textId="77777777">
        <w:trPr>
          <w:trHeight w:val="340"/>
        </w:trPr>
        <w:tc>
          <w:tcPr>
            <w:tcW w:w="1632" w:type="pct"/>
            <w:noWrap/>
            <w:vAlign w:val="center"/>
          </w:tcPr>
          <w:p w14:paraId="4DB134D0" w14:textId="77777777" w:rsidR="00AC7436" w:rsidRPr="00FF31D4" w:rsidRDefault="00005B7F">
            <w:pPr>
              <w:spacing w:after="0" w:line="240" w:lineRule="auto"/>
              <w:ind w:firstLine="426"/>
              <w:jc w:val="both"/>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Pasta or rice almost daily ( ≥ 5/week)</w:t>
            </w:r>
          </w:p>
        </w:tc>
        <w:tc>
          <w:tcPr>
            <w:tcW w:w="423" w:type="pct"/>
            <w:noWrap/>
            <w:vAlign w:val="center"/>
          </w:tcPr>
          <w:p w14:paraId="2243EA01"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37.9%</w:t>
            </w:r>
          </w:p>
        </w:tc>
        <w:tc>
          <w:tcPr>
            <w:tcW w:w="431" w:type="pct"/>
            <w:vAlign w:val="center"/>
          </w:tcPr>
          <w:p w14:paraId="2274E50F"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39.9%</w:t>
            </w:r>
          </w:p>
        </w:tc>
        <w:tc>
          <w:tcPr>
            <w:tcW w:w="284" w:type="pct"/>
            <w:tcBorders>
              <w:right w:val="single" w:sz="4" w:space="0" w:color="auto"/>
            </w:tcBorders>
            <w:vAlign w:val="center"/>
          </w:tcPr>
          <w:p w14:paraId="798428DE"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0.555</w:t>
            </w:r>
          </w:p>
        </w:tc>
        <w:tc>
          <w:tcPr>
            <w:tcW w:w="423" w:type="pct"/>
            <w:tcBorders>
              <w:left w:val="single" w:sz="4" w:space="0" w:color="auto"/>
            </w:tcBorders>
            <w:vAlign w:val="center"/>
          </w:tcPr>
          <w:p w14:paraId="5E20C43C"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46.9%</w:t>
            </w:r>
          </w:p>
        </w:tc>
        <w:tc>
          <w:tcPr>
            <w:tcW w:w="431" w:type="pct"/>
            <w:vAlign w:val="center"/>
          </w:tcPr>
          <w:p w14:paraId="2A1507BE"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44.5%</w:t>
            </w:r>
          </w:p>
        </w:tc>
        <w:tc>
          <w:tcPr>
            <w:tcW w:w="284" w:type="pct"/>
            <w:tcBorders>
              <w:right w:val="single" w:sz="4" w:space="0" w:color="auto"/>
            </w:tcBorders>
            <w:vAlign w:val="center"/>
          </w:tcPr>
          <w:p w14:paraId="03D6C49E"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0.641</w:t>
            </w:r>
          </w:p>
        </w:tc>
        <w:tc>
          <w:tcPr>
            <w:tcW w:w="380" w:type="pct"/>
            <w:tcBorders>
              <w:left w:val="single" w:sz="4" w:space="0" w:color="auto"/>
            </w:tcBorders>
            <w:vAlign w:val="center"/>
          </w:tcPr>
          <w:p w14:paraId="6141848A"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28.8%</w:t>
            </w:r>
          </w:p>
        </w:tc>
        <w:tc>
          <w:tcPr>
            <w:tcW w:w="431" w:type="pct"/>
            <w:vAlign w:val="center"/>
          </w:tcPr>
          <w:p w14:paraId="2986833E"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35.3%</w:t>
            </w:r>
          </w:p>
        </w:tc>
        <w:tc>
          <w:tcPr>
            <w:tcW w:w="284" w:type="pct"/>
            <w:vAlign w:val="center"/>
          </w:tcPr>
          <w:p w14:paraId="2865A496"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0.176</w:t>
            </w:r>
          </w:p>
        </w:tc>
      </w:tr>
      <w:tr w:rsidR="00FF31D4" w:rsidRPr="00FF31D4" w14:paraId="2F3503BA" w14:textId="77777777">
        <w:trPr>
          <w:trHeight w:val="340"/>
        </w:trPr>
        <w:tc>
          <w:tcPr>
            <w:tcW w:w="1632" w:type="pct"/>
            <w:noWrap/>
            <w:vAlign w:val="center"/>
          </w:tcPr>
          <w:p w14:paraId="50CD9322" w14:textId="77777777" w:rsidR="00AC7436" w:rsidRPr="00FF31D4" w:rsidRDefault="00005B7F">
            <w:pPr>
              <w:spacing w:after="0" w:line="240" w:lineRule="auto"/>
              <w:ind w:firstLine="426"/>
              <w:jc w:val="both"/>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Sweets and candies several times a day</w:t>
            </w:r>
          </w:p>
        </w:tc>
        <w:tc>
          <w:tcPr>
            <w:tcW w:w="423" w:type="pct"/>
            <w:noWrap/>
            <w:vAlign w:val="center"/>
          </w:tcPr>
          <w:p w14:paraId="79924EC6"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18.3%</w:t>
            </w:r>
          </w:p>
        </w:tc>
        <w:tc>
          <w:tcPr>
            <w:tcW w:w="431" w:type="pct"/>
            <w:vAlign w:val="center"/>
          </w:tcPr>
          <w:p w14:paraId="7CE4F072"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21.2%</w:t>
            </w:r>
          </w:p>
        </w:tc>
        <w:tc>
          <w:tcPr>
            <w:tcW w:w="284" w:type="pct"/>
            <w:tcBorders>
              <w:right w:val="single" w:sz="4" w:space="0" w:color="auto"/>
            </w:tcBorders>
            <w:vAlign w:val="center"/>
          </w:tcPr>
          <w:p w14:paraId="75E9429E"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0.317</w:t>
            </w:r>
          </w:p>
        </w:tc>
        <w:tc>
          <w:tcPr>
            <w:tcW w:w="423" w:type="pct"/>
            <w:tcBorders>
              <w:left w:val="single" w:sz="4" w:space="0" w:color="auto"/>
            </w:tcBorders>
            <w:vAlign w:val="center"/>
          </w:tcPr>
          <w:p w14:paraId="10AD9552"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20.8%</w:t>
            </w:r>
          </w:p>
        </w:tc>
        <w:tc>
          <w:tcPr>
            <w:tcW w:w="431" w:type="pct"/>
            <w:vAlign w:val="center"/>
          </w:tcPr>
          <w:p w14:paraId="6E46303F"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19.9%</w:t>
            </w:r>
          </w:p>
        </w:tc>
        <w:tc>
          <w:tcPr>
            <w:tcW w:w="284" w:type="pct"/>
            <w:tcBorders>
              <w:right w:val="single" w:sz="4" w:space="0" w:color="auto"/>
            </w:tcBorders>
            <w:vAlign w:val="center"/>
          </w:tcPr>
          <w:p w14:paraId="15B5C957"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0.820</w:t>
            </w:r>
          </w:p>
        </w:tc>
        <w:tc>
          <w:tcPr>
            <w:tcW w:w="380" w:type="pct"/>
            <w:tcBorders>
              <w:left w:val="single" w:sz="4" w:space="0" w:color="auto"/>
            </w:tcBorders>
            <w:vAlign w:val="center"/>
          </w:tcPr>
          <w:p w14:paraId="79F9CA2C"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15.7%</w:t>
            </w:r>
          </w:p>
        </w:tc>
        <w:tc>
          <w:tcPr>
            <w:tcW w:w="431" w:type="pct"/>
            <w:vAlign w:val="center"/>
          </w:tcPr>
          <w:p w14:paraId="7ECDE354"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22.5%</w:t>
            </w:r>
          </w:p>
        </w:tc>
        <w:tc>
          <w:tcPr>
            <w:tcW w:w="284" w:type="pct"/>
            <w:vAlign w:val="center"/>
          </w:tcPr>
          <w:p w14:paraId="3B971CB4"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0.095</w:t>
            </w:r>
          </w:p>
        </w:tc>
      </w:tr>
      <w:tr w:rsidR="00FF31D4" w:rsidRPr="00FF31D4" w14:paraId="2E1B36A8" w14:textId="77777777">
        <w:trPr>
          <w:trHeight w:val="340"/>
        </w:trPr>
        <w:tc>
          <w:tcPr>
            <w:tcW w:w="1632" w:type="pct"/>
            <w:noWrap/>
            <w:vAlign w:val="center"/>
          </w:tcPr>
          <w:p w14:paraId="1FDCC459" w14:textId="77777777" w:rsidR="00AC7436" w:rsidRPr="00FF31D4" w:rsidRDefault="00005B7F">
            <w:pPr>
              <w:spacing w:after="0" w:line="240" w:lineRule="auto"/>
              <w:ind w:firstLine="426"/>
              <w:jc w:val="both"/>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Use of olive oil at home</w:t>
            </w:r>
          </w:p>
        </w:tc>
        <w:tc>
          <w:tcPr>
            <w:tcW w:w="423" w:type="pct"/>
            <w:noWrap/>
            <w:vAlign w:val="center"/>
          </w:tcPr>
          <w:p w14:paraId="736552A3"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96.6%</w:t>
            </w:r>
          </w:p>
        </w:tc>
        <w:tc>
          <w:tcPr>
            <w:tcW w:w="431" w:type="pct"/>
            <w:vAlign w:val="center"/>
          </w:tcPr>
          <w:p w14:paraId="11201BEC"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98.7%</w:t>
            </w:r>
          </w:p>
        </w:tc>
        <w:tc>
          <w:tcPr>
            <w:tcW w:w="284" w:type="pct"/>
            <w:tcBorders>
              <w:right w:val="single" w:sz="4" w:space="0" w:color="auto"/>
            </w:tcBorders>
            <w:vAlign w:val="center"/>
          </w:tcPr>
          <w:p w14:paraId="17DBE502"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0.060</w:t>
            </w:r>
          </w:p>
        </w:tc>
        <w:tc>
          <w:tcPr>
            <w:tcW w:w="423" w:type="pct"/>
            <w:tcBorders>
              <w:left w:val="single" w:sz="4" w:space="0" w:color="auto"/>
              <w:bottom w:val="single" w:sz="4" w:space="0" w:color="auto"/>
            </w:tcBorders>
            <w:vAlign w:val="center"/>
          </w:tcPr>
          <w:p w14:paraId="69ED4103"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94.8%</w:t>
            </w:r>
          </w:p>
        </w:tc>
        <w:tc>
          <w:tcPr>
            <w:tcW w:w="431" w:type="pct"/>
            <w:tcBorders>
              <w:bottom w:val="single" w:sz="4" w:space="0" w:color="auto"/>
            </w:tcBorders>
            <w:vAlign w:val="center"/>
          </w:tcPr>
          <w:p w14:paraId="4DE3EE46"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99%</w:t>
            </w:r>
          </w:p>
        </w:tc>
        <w:tc>
          <w:tcPr>
            <w:tcW w:w="284" w:type="pct"/>
            <w:tcBorders>
              <w:bottom w:val="single" w:sz="4" w:space="0" w:color="auto"/>
              <w:right w:val="single" w:sz="4" w:space="0" w:color="auto"/>
            </w:tcBorders>
            <w:vAlign w:val="center"/>
          </w:tcPr>
          <w:p w14:paraId="3C38D9A2"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0.019</w:t>
            </w:r>
          </w:p>
        </w:tc>
        <w:tc>
          <w:tcPr>
            <w:tcW w:w="380" w:type="pct"/>
            <w:tcBorders>
              <w:left w:val="single" w:sz="4" w:space="0" w:color="auto"/>
            </w:tcBorders>
            <w:vAlign w:val="center"/>
          </w:tcPr>
          <w:p w14:paraId="6C01EC66"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98.4%</w:t>
            </w:r>
          </w:p>
        </w:tc>
        <w:tc>
          <w:tcPr>
            <w:tcW w:w="431" w:type="pct"/>
            <w:vAlign w:val="center"/>
          </w:tcPr>
          <w:p w14:paraId="20D6E903"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98.4%</w:t>
            </w:r>
          </w:p>
        </w:tc>
        <w:tc>
          <w:tcPr>
            <w:tcW w:w="284" w:type="pct"/>
            <w:vAlign w:val="center"/>
          </w:tcPr>
          <w:p w14:paraId="6FB5D78D"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0.976</w:t>
            </w:r>
          </w:p>
        </w:tc>
      </w:tr>
    </w:tbl>
    <w:p w14:paraId="650C9D60" w14:textId="77777777" w:rsidR="00AC7436" w:rsidRPr="00FF31D4" w:rsidRDefault="00005B7F">
      <w:pPr>
        <w:spacing w:before="240" w:line="480" w:lineRule="auto"/>
        <w:ind w:firstLine="709"/>
        <w:jc w:val="both"/>
        <w:rPr>
          <w:rFonts w:ascii="Times New Roman" w:hAnsi="Times New Roman" w:cs="Times New Roman"/>
          <w:sz w:val="20"/>
          <w:szCs w:val="20"/>
          <w:lang w:val="en-GB"/>
        </w:rPr>
      </w:pPr>
      <w:r w:rsidRPr="00FF31D4">
        <w:rPr>
          <w:rFonts w:ascii="Times New Roman" w:hAnsi="Times New Roman" w:cs="Times New Roman"/>
          <w:sz w:val="20"/>
          <w:szCs w:val="20"/>
          <w:lang w:val="en-GB"/>
        </w:rPr>
        <w:t>Table 4 presents self-esteem levels, alongside HRQoL and its various dimensions as a function of academic year and sex. First-year students reported significantly higher values than fourth-year students for all individual dimensions of HRQoL, overall HRQoL score and self-esteem. Nonetheless, outcomes were not as equivocal in the case of boys given that, in this regard, no significant outcomes were identified for self-esteem or for dimensions related with autonomy and parental influence, psychological well-being, and social support.</w:t>
      </w:r>
    </w:p>
    <w:p w14:paraId="2FFE5D9E" w14:textId="77777777" w:rsidR="00AC7436" w:rsidRPr="00FF31D4" w:rsidRDefault="00005B7F">
      <w:pPr>
        <w:spacing w:line="360" w:lineRule="auto"/>
        <w:jc w:val="both"/>
        <w:rPr>
          <w:rFonts w:ascii="Times New Roman" w:hAnsi="Times New Roman" w:cs="Times New Roman"/>
          <w:sz w:val="20"/>
          <w:szCs w:val="20"/>
          <w:lang w:val="en-GB"/>
        </w:rPr>
      </w:pPr>
      <w:r w:rsidRPr="00FF31D4">
        <w:rPr>
          <w:rFonts w:ascii="Times New Roman" w:hAnsi="Times New Roman" w:cs="Times New Roman"/>
          <w:b/>
          <w:sz w:val="20"/>
          <w:szCs w:val="20"/>
          <w:lang w:val="en-GB"/>
        </w:rPr>
        <w:t>Table 4</w:t>
      </w:r>
      <w:r w:rsidRPr="00FF31D4">
        <w:rPr>
          <w:rFonts w:ascii="Times New Roman" w:hAnsi="Times New Roman" w:cs="Times New Roman"/>
          <w:bCs/>
          <w:sz w:val="20"/>
          <w:szCs w:val="20"/>
          <w:lang w:val="en-GB"/>
        </w:rPr>
        <w:t xml:space="preserve">. </w:t>
      </w:r>
      <w:r w:rsidRPr="00FF31D4">
        <w:rPr>
          <w:rFonts w:ascii="Times New Roman" w:hAnsi="Times New Roman" w:cs="Times New Roman"/>
          <w:sz w:val="20"/>
          <w:szCs w:val="20"/>
          <w:lang w:val="en-GB"/>
        </w:rPr>
        <w:t>Self-esteem and HRQoL according to sex and grade.</w:t>
      </w:r>
    </w:p>
    <w:tbl>
      <w:tblPr>
        <w:tblW w:w="5000" w:type="pct"/>
        <w:tblBorders>
          <w:top w:val="single" w:sz="4" w:space="0" w:color="auto"/>
          <w:bottom w:val="single" w:sz="4" w:space="0" w:color="auto"/>
        </w:tblBorders>
        <w:tblLayout w:type="fixed"/>
        <w:tblCellMar>
          <w:left w:w="28" w:type="dxa"/>
          <w:right w:w="28" w:type="dxa"/>
        </w:tblCellMar>
        <w:tblLook w:val="04A0" w:firstRow="1" w:lastRow="0" w:firstColumn="1" w:lastColumn="0" w:noHBand="0" w:noVBand="1"/>
      </w:tblPr>
      <w:tblGrid>
        <w:gridCol w:w="1705"/>
        <w:gridCol w:w="851"/>
        <w:gridCol w:w="849"/>
        <w:gridCol w:w="568"/>
        <w:gridCol w:w="852"/>
        <w:gridCol w:w="850"/>
        <w:gridCol w:w="568"/>
        <w:gridCol w:w="850"/>
        <w:gridCol w:w="850"/>
        <w:gridCol w:w="561"/>
      </w:tblGrid>
      <w:tr w:rsidR="00FF31D4" w:rsidRPr="00FF31D4" w14:paraId="69285E05" w14:textId="77777777">
        <w:trPr>
          <w:trHeight w:val="546"/>
        </w:trPr>
        <w:tc>
          <w:tcPr>
            <w:tcW w:w="1002" w:type="pct"/>
            <w:tcBorders>
              <w:bottom w:val="nil"/>
            </w:tcBorders>
            <w:noWrap/>
            <w:vAlign w:val="center"/>
          </w:tcPr>
          <w:p w14:paraId="4C5A45E6" w14:textId="77777777" w:rsidR="00AC7436" w:rsidRPr="00FF31D4" w:rsidRDefault="00005B7F">
            <w:pPr>
              <w:spacing w:after="0" w:line="360" w:lineRule="auto"/>
              <w:jc w:val="both"/>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 </w:t>
            </w:r>
          </w:p>
        </w:tc>
        <w:tc>
          <w:tcPr>
            <w:tcW w:w="1333" w:type="pct"/>
            <w:gridSpan w:val="3"/>
            <w:tcBorders>
              <w:top w:val="single" w:sz="4" w:space="0" w:color="auto"/>
              <w:bottom w:val="single" w:sz="4" w:space="0" w:color="auto"/>
            </w:tcBorders>
            <w:noWrap/>
            <w:vAlign w:val="center"/>
          </w:tcPr>
          <w:p w14:paraId="3E3857AE"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hAnsi="Times New Roman" w:cs="Times New Roman"/>
                <w:sz w:val="14"/>
                <w:szCs w:val="14"/>
                <w:lang w:val="en-GB"/>
              </w:rPr>
              <w:t>All</w:t>
            </w:r>
          </w:p>
          <w:p w14:paraId="128880DC" w14:textId="77777777" w:rsidR="00AC7436" w:rsidRPr="00FF31D4" w:rsidRDefault="00005B7F">
            <w:pPr>
              <w:spacing w:after="0" w:line="360" w:lineRule="auto"/>
              <w:jc w:val="center"/>
              <w:rPr>
                <w:rFonts w:ascii="Times New Roman" w:hAnsi="Times New Roman" w:cs="Times New Roman"/>
                <w:sz w:val="14"/>
                <w:szCs w:val="14"/>
                <w:lang w:val="en-GB"/>
              </w:rPr>
            </w:pPr>
            <w:r w:rsidRPr="00FF31D4">
              <w:rPr>
                <w:rFonts w:ascii="Times New Roman" w:eastAsia="Times New Roman" w:hAnsi="Times New Roman" w:cs="Times New Roman"/>
                <w:sz w:val="14"/>
                <w:szCs w:val="14"/>
                <w:lang w:val="en-GB" w:eastAsia="es-ES"/>
              </w:rPr>
              <w:t>(n = 761)</w:t>
            </w:r>
          </w:p>
        </w:tc>
        <w:tc>
          <w:tcPr>
            <w:tcW w:w="1335" w:type="pct"/>
            <w:gridSpan w:val="3"/>
            <w:tcBorders>
              <w:top w:val="single" w:sz="4" w:space="0" w:color="auto"/>
              <w:bottom w:val="single" w:sz="4" w:space="0" w:color="auto"/>
            </w:tcBorders>
            <w:noWrap/>
            <w:vAlign w:val="center"/>
          </w:tcPr>
          <w:p w14:paraId="19C438D0"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hAnsi="Times New Roman" w:cs="Times New Roman"/>
                <w:sz w:val="14"/>
                <w:szCs w:val="14"/>
                <w:lang w:val="en-GB"/>
              </w:rPr>
              <w:t>Boys</w:t>
            </w:r>
          </w:p>
          <w:p w14:paraId="17C44294" w14:textId="77777777" w:rsidR="00AC7436" w:rsidRPr="00FF31D4" w:rsidRDefault="00005B7F">
            <w:pPr>
              <w:spacing w:after="0" w:line="36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(n = 393)</w:t>
            </w:r>
          </w:p>
        </w:tc>
        <w:tc>
          <w:tcPr>
            <w:tcW w:w="1331" w:type="pct"/>
            <w:gridSpan w:val="3"/>
            <w:tcBorders>
              <w:top w:val="single" w:sz="4" w:space="0" w:color="auto"/>
              <w:bottom w:val="single" w:sz="4" w:space="0" w:color="auto"/>
            </w:tcBorders>
            <w:noWrap/>
            <w:vAlign w:val="center"/>
          </w:tcPr>
          <w:p w14:paraId="5F3AF863"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hAnsi="Times New Roman" w:cs="Times New Roman"/>
                <w:sz w:val="14"/>
                <w:szCs w:val="14"/>
                <w:lang w:val="en-GB"/>
              </w:rPr>
              <w:t>Girls</w:t>
            </w:r>
          </w:p>
          <w:p w14:paraId="7457D8E2" w14:textId="77777777" w:rsidR="00AC7436" w:rsidRPr="00FF31D4" w:rsidRDefault="00005B7F">
            <w:pPr>
              <w:spacing w:after="0" w:line="36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(n = 378)</w:t>
            </w:r>
          </w:p>
        </w:tc>
      </w:tr>
      <w:tr w:rsidR="00FF31D4" w:rsidRPr="00FF31D4" w14:paraId="0496521A" w14:textId="77777777">
        <w:trPr>
          <w:trHeight w:val="340"/>
        </w:trPr>
        <w:tc>
          <w:tcPr>
            <w:tcW w:w="1002" w:type="pct"/>
            <w:tcBorders>
              <w:top w:val="nil"/>
              <w:bottom w:val="single" w:sz="4" w:space="0" w:color="auto"/>
            </w:tcBorders>
            <w:noWrap/>
            <w:vAlign w:val="center"/>
          </w:tcPr>
          <w:p w14:paraId="4CABD2D6" w14:textId="77777777" w:rsidR="00AC7436" w:rsidRPr="00FF31D4" w:rsidRDefault="00005B7F">
            <w:pPr>
              <w:spacing w:after="0" w:line="360" w:lineRule="auto"/>
              <w:jc w:val="both"/>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 </w:t>
            </w:r>
          </w:p>
        </w:tc>
        <w:tc>
          <w:tcPr>
            <w:tcW w:w="500" w:type="pct"/>
            <w:tcBorders>
              <w:top w:val="single" w:sz="4" w:space="0" w:color="auto"/>
              <w:bottom w:val="single" w:sz="4" w:space="0" w:color="auto"/>
            </w:tcBorders>
            <w:noWrap/>
            <w:vAlign w:val="center"/>
          </w:tcPr>
          <w:p w14:paraId="76C44098"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hAnsi="Times New Roman" w:cs="Times New Roman"/>
                <w:sz w:val="14"/>
                <w:szCs w:val="14"/>
                <w:lang w:val="en-GB"/>
              </w:rPr>
              <w:t>First year</w:t>
            </w:r>
          </w:p>
          <w:p w14:paraId="61EEF3CA" w14:textId="77777777" w:rsidR="00AC7436" w:rsidRPr="00FF31D4" w:rsidRDefault="00005B7F">
            <w:pPr>
              <w:spacing w:after="0" w:line="36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(n = 383)</w:t>
            </w:r>
          </w:p>
        </w:tc>
        <w:tc>
          <w:tcPr>
            <w:tcW w:w="499" w:type="pct"/>
            <w:tcBorders>
              <w:top w:val="single" w:sz="4" w:space="0" w:color="auto"/>
              <w:bottom w:val="single" w:sz="4" w:space="0" w:color="auto"/>
            </w:tcBorders>
            <w:noWrap/>
            <w:vAlign w:val="center"/>
          </w:tcPr>
          <w:p w14:paraId="270B6DDE"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hAnsi="Times New Roman" w:cs="Times New Roman"/>
                <w:sz w:val="14"/>
                <w:szCs w:val="14"/>
                <w:lang w:val="en-GB"/>
              </w:rPr>
              <w:t>Fourth year</w:t>
            </w:r>
          </w:p>
          <w:p w14:paraId="7C829D2F" w14:textId="77777777" w:rsidR="00AC7436" w:rsidRPr="00FF31D4" w:rsidRDefault="00005B7F">
            <w:pPr>
              <w:spacing w:after="0" w:line="36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(n = 378)</w:t>
            </w:r>
          </w:p>
        </w:tc>
        <w:tc>
          <w:tcPr>
            <w:tcW w:w="334" w:type="pct"/>
            <w:tcBorders>
              <w:top w:val="single" w:sz="4" w:space="0" w:color="auto"/>
              <w:bottom w:val="single" w:sz="4" w:space="0" w:color="auto"/>
              <w:right w:val="single" w:sz="4" w:space="0" w:color="auto"/>
            </w:tcBorders>
            <w:vAlign w:val="center"/>
          </w:tcPr>
          <w:p w14:paraId="39D5157A" w14:textId="77777777" w:rsidR="00AC7436" w:rsidRPr="00FF31D4" w:rsidRDefault="00005B7F">
            <w:pPr>
              <w:spacing w:after="0" w:line="36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i/>
                <w:sz w:val="14"/>
                <w:szCs w:val="14"/>
                <w:lang w:val="en-GB" w:eastAsia="es-ES"/>
              </w:rPr>
              <w:t xml:space="preserve">p </w:t>
            </w:r>
            <w:r w:rsidRPr="00FF31D4">
              <w:rPr>
                <w:rFonts w:ascii="Times New Roman" w:eastAsia="Times New Roman" w:hAnsi="Times New Roman" w:cs="Times New Roman"/>
                <w:sz w:val="14"/>
                <w:szCs w:val="14"/>
                <w:lang w:val="en-GB" w:eastAsia="es-ES"/>
              </w:rPr>
              <w:t>value</w:t>
            </w:r>
          </w:p>
        </w:tc>
        <w:tc>
          <w:tcPr>
            <w:tcW w:w="501" w:type="pct"/>
            <w:tcBorders>
              <w:top w:val="single" w:sz="4" w:space="0" w:color="auto"/>
              <w:left w:val="single" w:sz="4" w:space="0" w:color="auto"/>
              <w:bottom w:val="single" w:sz="4" w:space="0" w:color="auto"/>
            </w:tcBorders>
            <w:noWrap/>
            <w:vAlign w:val="center"/>
          </w:tcPr>
          <w:p w14:paraId="3EA5B779"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hAnsi="Times New Roman" w:cs="Times New Roman"/>
                <w:sz w:val="14"/>
                <w:szCs w:val="14"/>
                <w:lang w:val="en-GB"/>
              </w:rPr>
              <w:t>First year</w:t>
            </w:r>
          </w:p>
          <w:p w14:paraId="767C61BD" w14:textId="77777777" w:rsidR="00AC7436" w:rsidRPr="00FF31D4" w:rsidRDefault="00005B7F">
            <w:pPr>
              <w:spacing w:after="0" w:line="36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(n = 383)</w:t>
            </w:r>
          </w:p>
        </w:tc>
        <w:tc>
          <w:tcPr>
            <w:tcW w:w="500" w:type="pct"/>
            <w:tcBorders>
              <w:top w:val="single" w:sz="4" w:space="0" w:color="auto"/>
              <w:bottom w:val="single" w:sz="4" w:space="0" w:color="auto"/>
            </w:tcBorders>
            <w:noWrap/>
            <w:vAlign w:val="center"/>
          </w:tcPr>
          <w:p w14:paraId="1CBE8620"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hAnsi="Times New Roman" w:cs="Times New Roman"/>
                <w:sz w:val="14"/>
                <w:szCs w:val="14"/>
                <w:lang w:val="en-GB"/>
              </w:rPr>
              <w:t>Fourth year</w:t>
            </w:r>
          </w:p>
          <w:p w14:paraId="542C33D8" w14:textId="77777777" w:rsidR="00AC7436" w:rsidRPr="00FF31D4" w:rsidRDefault="00005B7F">
            <w:pPr>
              <w:spacing w:after="0" w:line="36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(n = 378)</w:t>
            </w:r>
          </w:p>
        </w:tc>
        <w:tc>
          <w:tcPr>
            <w:tcW w:w="334" w:type="pct"/>
            <w:tcBorders>
              <w:top w:val="single" w:sz="4" w:space="0" w:color="auto"/>
              <w:bottom w:val="single" w:sz="4" w:space="0" w:color="auto"/>
              <w:right w:val="single" w:sz="4" w:space="0" w:color="auto"/>
            </w:tcBorders>
            <w:vAlign w:val="center"/>
          </w:tcPr>
          <w:p w14:paraId="3ECDC47A" w14:textId="77777777" w:rsidR="00AC7436" w:rsidRPr="00FF31D4" w:rsidRDefault="00005B7F">
            <w:pPr>
              <w:spacing w:after="0" w:line="36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i/>
                <w:sz w:val="14"/>
                <w:szCs w:val="14"/>
                <w:lang w:val="en-GB" w:eastAsia="es-ES"/>
              </w:rPr>
              <w:t xml:space="preserve">p </w:t>
            </w:r>
            <w:r w:rsidRPr="00FF31D4">
              <w:rPr>
                <w:rFonts w:ascii="Times New Roman" w:eastAsia="Times New Roman" w:hAnsi="Times New Roman" w:cs="Times New Roman"/>
                <w:sz w:val="14"/>
                <w:szCs w:val="14"/>
                <w:lang w:val="en-GB" w:eastAsia="es-ES"/>
              </w:rPr>
              <w:t>value</w:t>
            </w:r>
          </w:p>
        </w:tc>
        <w:tc>
          <w:tcPr>
            <w:tcW w:w="500" w:type="pct"/>
            <w:tcBorders>
              <w:top w:val="single" w:sz="4" w:space="0" w:color="auto"/>
              <w:left w:val="single" w:sz="4" w:space="0" w:color="auto"/>
              <w:bottom w:val="single" w:sz="4" w:space="0" w:color="auto"/>
            </w:tcBorders>
            <w:noWrap/>
            <w:vAlign w:val="center"/>
          </w:tcPr>
          <w:p w14:paraId="76F76272"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hAnsi="Times New Roman" w:cs="Times New Roman"/>
                <w:sz w:val="14"/>
                <w:szCs w:val="14"/>
                <w:lang w:val="en-GB"/>
              </w:rPr>
              <w:t>First year</w:t>
            </w:r>
          </w:p>
          <w:p w14:paraId="0B889F5C" w14:textId="77777777" w:rsidR="00AC7436" w:rsidRPr="00FF31D4" w:rsidRDefault="00005B7F">
            <w:pPr>
              <w:spacing w:after="0" w:line="36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(n = 383)</w:t>
            </w:r>
          </w:p>
        </w:tc>
        <w:tc>
          <w:tcPr>
            <w:tcW w:w="500" w:type="pct"/>
            <w:tcBorders>
              <w:top w:val="single" w:sz="4" w:space="0" w:color="auto"/>
              <w:bottom w:val="single" w:sz="4" w:space="0" w:color="auto"/>
            </w:tcBorders>
            <w:vAlign w:val="center"/>
          </w:tcPr>
          <w:p w14:paraId="13564E49" w14:textId="77777777" w:rsidR="00AC7436" w:rsidRPr="00FF31D4" w:rsidRDefault="00005B7F">
            <w:pPr>
              <w:spacing w:after="0" w:line="240" w:lineRule="auto"/>
              <w:jc w:val="center"/>
              <w:rPr>
                <w:rFonts w:ascii="Times New Roman" w:eastAsia="Times New Roman" w:hAnsi="Times New Roman" w:cs="Times New Roman"/>
                <w:sz w:val="14"/>
                <w:szCs w:val="14"/>
                <w:lang w:val="en-GB" w:eastAsia="es-ES"/>
              </w:rPr>
            </w:pPr>
            <w:r w:rsidRPr="00FF31D4">
              <w:rPr>
                <w:rFonts w:ascii="Times New Roman" w:hAnsi="Times New Roman" w:cs="Times New Roman"/>
                <w:sz w:val="14"/>
                <w:szCs w:val="14"/>
                <w:lang w:val="en-GB"/>
              </w:rPr>
              <w:t>Fourth year</w:t>
            </w:r>
          </w:p>
          <w:p w14:paraId="71061365" w14:textId="77777777" w:rsidR="00AC7436" w:rsidRPr="00FF31D4" w:rsidRDefault="00005B7F">
            <w:pPr>
              <w:spacing w:after="0" w:line="36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(n = 378)</w:t>
            </w:r>
          </w:p>
        </w:tc>
        <w:tc>
          <w:tcPr>
            <w:tcW w:w="331" w:type="pct"/>
            <w:tcBorders>
              <w:top w:val="single" w:sz="4" w:space="0" w:color="auto"/>
              <w:bottom w:val="single" w:sz="4" w:space="0" w:color="auto"/>
            </w:tcBorders>
            <w:vAlign w:val="center"/>
          </w:tcPr>
          <w:p w14:paraId="1122F178" w14:textId="77777777" w:rsidR="00AC7436" w:rsidRPr="00FF31D4" w:rsidRDefault="00005B7F">
            <w:pPr>
              <w:spacing w:after="0" w:line="36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i/>
                <w:sz w:val="14"/>
                <w:szCs w:val="14"/>
                <w:lang w:val="en-GB" w:eastAsia="es-ES"/>
              </w:rPr>
              <w:t xml:space="preserve">p </w:t>
            </w:r>
            <w:r w:rsidRPr="00FF31D4">
              <w:rPr>
                <w:rFonts w:ascii="Times New Roman" w:eastAsia="Times New Roman" w:hAnsi="Times New Roman" w:cs="Times New Roman"/>
                <w:sz w:val="14"/>
                <w:szCs w:val="14"/>
                <w:lang w:val="en-GB" w:eastAsia="es-ES"/>
              </w:rPr>
              <w:t>value</w:t>
            </w:r>
          </w:p>
        </w:tc>
      </w:tr>
      <w:tr w:rsidR="00FF31D4" w:rsidRPr="00FF31D4" w14:paraId="7DF35B61" w14:textId="77777777">
        <w:trPr>
          <w:trHeight w:val="340"/>
        </w:trPr>
        <w:tc>
          <w:tcPr>
            <w:tcW w:w="1002" w:type="pct"/>
            <w:tcBorders>
              <w:top w:val="single" w:sz="4" w:space="0" w:color="auto"/>
            </w:tcBorders>
            <w:noWrap/>
            <w:vAlign w:val="center"/>
          </w:tcPr>
          <w:p w14:paraId="15D86A31" w14:textId="77777777" w:rsidR="00AC7436" w:rsidRPr="00FF31D4" w:rsidRDefault="00005B7F">
            <w:pPr>
              <w:spacing w:after="0" w:line="360" w:lineRule="auto"/>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Health-related quality of life</w:t>
            </w:r>
          </w:p>
        </w:tc>
        <w:tc>
          <w:tcPr>
            <w:tcW w:w="500" w:type="pct"/>
            <w:tcBorders>
              <w:top w:val="single" w:sz="4" w:space="0" w:color="auto"/>
            </w:tcBorders>
            <w:noWrap/>
            <w:vAlign w:val="center"/>
          </w:tcPr>
          <w:p w14:paraId="2A6E9CDD" w14:textId="77777777" w:rsidR="00AC7436" w:rsidRPr="00FF31D4" w:rsidRDefault="00005B7F">
            <w:pPr>
              <w:spacing w:after="0" w:line="36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259.15</w:t>
            </w:r>
            <w:r w:rsidRPr="00FF31D4">
              <w:rPr>
                <w:rFonts w:ascii="Times New Roman" w:hAnsi="Times New Roman" w:cs="Times New Roman"/>
                <w:sz w:val="14"/>
                <w:szCs w:val="14"/>
                <w:shd w:val="clear" w:color="auto" w:fill="FFFFFF"/>
                <w:lang w:val="en-GB"/>
              </w:rPr>
              <w:t>±</w:t>
            </w:r>
            <w:r w:rsidRPr="00FF31D4">
              <w:rPr>
                <w:rFonts w:ascii="Times New Roman" w:eastAsia="Times New Roman" w:hAnsi="Times New Roman" w:cs="Times New Roman"/>
                <w:sz w:val="14"/>
                <w:szCs w:val="14"/>
                <w:lang w:val="en-GB" w:eastAsia="es-ES"/>
              </w:rPr>
              <w:t>33.47</w:t>
            </w:r>
          </w:p>
        </w:tc>
        <w:tc>
          <w:tcPr>
            <w:tcW w:w="499" w:type="pct"/>
            <w:tcBorders>
              <w:top w:val="single" w:sz="4" w:space="0" w:color="auto"/>
            </w:tcBorders>
            <w:noWrap/>
            <w:vAlign w:val="center"/>
          </w:tcPr>
          <w:p w14:paraId="70849390" w14:textId="77777777" w:rsidR="00AC7436" w:rsidRPr="00FF31D4" w:rsidRDefault="00005B7F">
            <w:pPr>
              <w:spacing w:after="0" w:line="36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240.95</w:t>
            </w:r>
            <w:r w:rsidRPr="00FF31D4">
              <w:rPr>
                <w:rFonts w:ascii="Times New Roman" w:hAnsi="Times New Roman" w:cs="Times New Roman"/>
                <w:sz w:val="14"/>
                <w:szCs w:val="14"/>
                <w:shd w:val="clear" w:color="auto" w:fill="FFFFFF"/>
                <w:lang w:val="en-GB"/>
              </w:rPr>
              <w:t>±</w:t>
            </w:r>
            <w:r w:rsidRPr="00FF31D4">
              <w:rPr>
                <w:rFonts w:ascii="Times New Roman" w:eastAsia="Times New Roman" w:hAnsi="Times New Roman" w:cs="Times New Roman"/>
                <w:sz w:val="14"/>
                <w:szCs w:val="14"/>
                <w:lang w:val="en-GB" w:eastAsia="es-ES"/>
              </w:rPr>
              <w:t>30.28</w:t>
            </w:r>
          </w:p>
        </w:tc>
        <w:tc>
          <w:tcPr>
            <w:tcW w:w="334" w:type="pct"/>
            <w:tcBorders>
              <w:top w:val="single" w:sz="4" w:space="0" w:color="auto"/>
              <w:right w:val="single" w:sz="4" w:space="0" w:color="auto"/>
            </w:tcBorders>
            <w:vAlign w:val="center"/>
          </w:tcPr>
          <w:p w14:paraId="291DEDE1" w14:textId="77777777" w:rsidR="00AC7436" w:rsidRPr="00FF31D4" w:rsidRDefault="00005B7F">
            <w:pPr>
              <w:spacing w:after="0" w:line="360" w:lineRule="auto"/>
              <w:jc w:val="center"/>
              <w:rPr>
                <w:rFonts w:ascii="Times New Roman" w:eastAsia="Times New Roman" w:hAnsi="Times New Roman" w:cs="Times New Roman"/>
                <w:sz w:val="14"/>
                <w:szCs w:val="14"/>
                <w:lang w:val="en-GB" w:eastAsia="es-ES"/>
              </w:rPr>
            </w:pPr>
            <w:r w:rsidRPr="00FF31D4">
              <w:rPr>
                <w:rFonts w:ascii="Times New Roman" w:hAnsi="Times New Roman" w:cs="Times New Roman"/>
                <w:sz w:val="14"/>
                <w:szCs w:val="14"/>
                <w:lang w:val="en-GB"/>
              </w:rPr>
              <w:t>&lt;0.001</w:t>
            </w:r>
          </w:p>
        </w:tc>
        <w:tc>
          <w:tcPr>
            <w:tcW w:w="501" w:type="pct"/>
            <w:tcBorders>
              <w:top w:val="single" w:sz="4" w:space="0" w:color="auto"/>
              <w:left w:val="single" w:sz="4" w:space="0" w:color="auto"/>
            </w:tcBorders>
            <w:noWrap/>
            <w:vAlign w:val="center"/>
          </w:tcPr>
          <w:p w14:paraId="7C3BA03C" w14:textId="77777777" w:rsidR="00AC7436" w:rsidRPr="00FF31D4" w:rsidRDefault="00005B7F">
            <w:pPr>
              <w:spacing w:after="0" w:line="36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257.72</w:t>
            </w:r>
            <w:r w:rsidRPr="00FF31D4">
              <w:rPr>
                <w:rFonts w:ascii="Times New Roman" w:hAnsi="Times New Roman" w:cs="Times New Roman"/>
                <w:sz w:val="14"/>
                <w:szCs w:val="14"/>
                <w:shd w:val="clear" w:color="auto" w:fill="FFFFFF"/>
                <w:lang w:val="en-GB"/>
              </w:rPr>
              <w:t>±</w:t>
            </w:r>
            <w:r w:rsidRPr="00FF31D4">
              <w:rPr>
                <w:rFonts w:ascii="Times New Roman" w:eastAsia="Times New Roman" w:hAnsi="Times New Roman" w:cs="Times New Roman"/>
                <w:sz w:val="14"/>
                <w:szCs w:val="14"/>
                <w:lang w:val="en-GB" w:eastAsia="es-ES"/>
              </w:rPr>
              <w:t>33.52</w:t>
            </w:r>
          </w:p>
        </w:tc>
        <w:tc>
          <w:tcPr>
            <w:tcW w:w="500" w:type="pct"/>
            <w:tcBorders>
              <w:top w:val="single" w:sz="4" w:space="0" w:color="auto"/>
            </w:tcBorders>
            <w:noWrap/>
            <w:vAlign w:val="center"/>
          </w:tcPr>
          <w:p w14:paraId="167F134A" w14:textId="77777777" w:rsidR="00AC7436" w:rsidRPr="00FF31D4" w:rsidRDefault="00005B7F">
            <w:pPr>
              <w:spacing w:after="0" w:line="36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247.04</w:t>
            </w:r>
            <w:r w:rsidRPr="00FF31D4">
              <w:rPr>
                <w:rFonts w:ascii="Times New Roman" w:hAnsi="Times New Roman" w:cs="Times New Roman"/>
                <w:sz w:val="14"/>
                <w:szCs w:val="14"/>
                <w:shd w:val="clear" w:color="auto" w:fill="FFFFFF"/>
                <w:lang w:val="en-GB"/>
              </w:rPr>
              <w:t>±</w:t>
            </w:r>
            <w:r w:rsidRPr="00FF31D4">
              <w:rPr>
                <w:rFonts w:ascii="Times New Roman" w:eastAsia="Times New Roman" w:hAnsi="Times New Roman" w:cs="Times New Roman"/>
                <w:sz w:val="14"/>
                <w:szCs w:val="14"/>
                <w:lang w:val="en-GB" w:eastAsia="es-ES"/>
              </w:rPr>
              <w:t>30.63</w:t>
            </w:r>
          </w:p>
        </w:tc>
        <w:tc>
          <w:tcPr>
            <w:tcW w:w="334" w:type="pct"/>
            <w:tcBorders>
              <w:top w:val="single" w:sz="4" w:space="0" w:color="auto"/>
              <w:right w:val="single" w:sz="4" w:space="0" w:color="auto"/>
            </w:tcBorders>
            <w:vAlign w:val="center"/>
          </w:tcPr>
          <w:p w14:paraId="2413AA2B" w14:textId="77777777" w:rsidR="00AC7436" w:rsidRPr="00FF31D4" w:rsidRDefault="00005B7F">
            <w:pPr>
              <w:spacing w:after="0" w:line="360" w:lineRule="auto"/>
              <w:jc w:val="center"/>
              <w:rPr>
                <w:rFonts w:ascii="Times New Roman" w:hAnsi="Times New Roman" w:cs="Times New Roman"/>
                <w:sz w:val="14"/>
                <w:szCs w:val="14"/>
                <w:lang w:val="en-GB"/>
              </w:rPr>
            </w:pPr>
            <w:r w:rsidRPr="00FF31D4">
              <w:rPr>
                <w:rFonts w:ascii="Times New Roman" w:hAnsi="Times New Roman" w:cs="Times New Roman"/>
                <w:sz w:val="14"/>
                <w:szCs w:val="14"/>
                <w:lang w:val="en-GB"/>
              </w:rPr>
              <w:t>0.002</w:t>
            </w:r>
          </w:p>
        </w:tc>
        <w:tc>
          <w:tcPr>
            <w:tcW w:w="500" w:type="pct"/>
            <w:tcBorders>
              <w:top w:val="single" w:sz="4" w:space="0" w:color="auto"/>
              <w:left w:val="single" w:sz="4" w:space="0" w:color="auto"/>
            </w:tcBorders>
            <w:noWrap/>
            <w:vAlign w:val="center"/>
          </w:tcPr>
          <w:p w14:paraId="2173F483" w14:textId="77777777" w:rsidR="00AC7436" w:rsidRPr="00FF31D4" w:rsidRDefault="00005B7F">
            <w:pPr>
              <w:spacing w:after="0" w:line="36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260.59</w:t>
            </w:r>
            <w:r w:rsidRPr="00FF31D4">
              <w:rPr>
                <w:rFonts w:ascii="Times New Roman" w:hAnsi="Times New Roman" w:cs="Times New Roman"/>
                <w:sz w:val="14"/>
                <w:szCs w:val="14"/>
                <w:shd w:val="clear" w:color="auto" w:fill="FFFFFF"/>
                <w:lang w:val="en-GB"/>
              </w:rPr>
              <w:t>±</w:t>
            </w:r>
            <w:r w:rsidRPr="00FF31D4">
              <w:rPr>
                <w:rFonts w:ascii="Times New Roman" w:eastAsia="Times New Roman" w:hAnsi="Times New Roman" w:cs="Times New Roman"/>
                <w:sz w:val="14"/>
                <w:szCs w:val="14"/>
                <w:lang w:val="en-GB" w:eastAsia="es-ES"/>
              </w:rPr>
              <w:t>33.45</w:t>
            </w:r>
          </w:p>
        </w:tc>
        <w:tc>
          <w:tcPr>
            <w:tcW w:w="500" w:type="pct"/>
            <w:tcBorders>
              <w:top w:val="single" w:sz="4" w:space="0" w:color="auto"/>
            </w:tcBorders>
            <w:vAlign w:val="center"/>
          </w:tcPr>
          <w:p w14:paraId="7878049A" w14:textId="77777777" w:rsidR="00AC7436" w:rsidRPr="00FF31D4" w:rsidRDefault="00005B7F">
            <w:pPr>
              <w:spacing w:after="0" w:line="360" w:lineRule="auto"/>
              <w:jc w:val="center"/>
              <w:rPr>
                <w:rFonts w:ascii="Times New Roman" w:hAnsi="Times New Roman" w:cs="Times New Roman"/>
                <w:sz w:val="14"/>
                <w:szCs w:val="14"/>
                <w:lang w:val="en-GB"/>
              </w:rPr>
            </w:pPr>
            <w:r w:rsidRPr="00FF31D4">
              <w:rPr>
                <w:rFonts w:ascii="Times New Roman" w:eastAsia="Times New Roman" w:hAnsi="Times New Roman" w:cs="Times New Roman"/>
                <w:sz w:val="14"/>
                <w:szCs w:val="14"/>
                <w:lang w:val="en-GB" w:eastAsia="es-ES"/>
              </w:rPr>
              <w:t>234.73</w:t>
            </w:r>
            <w:r w:rsidRPr="00FF31D4">
              <w:rPr>
                <w:rFonts w:ascii="Times New Roman" w:hAnsi="Times New Roman" w:cs="Times New Roman"/>
                <w:sz w:val="14"/>
                <w:szCs w:val="14"/>
                <w:shd w:val="clear" w:color="auto" w:fill="FFFFFF"/>
                <w:lang w:val="en-GB"/>
              </w:rPr>
              <w:t>±28</w:t>
            </w:r>
            <w:r w:rsidRPr="00FF31D4">
              <w:rPr>
                <w:rFonts w:ascii="Times New Roman" w:eastAsia="Times New Roman" w:hAnsi="Times New Roman" w:cs="Times New Roman"/>
                <w:sz w:val="14"/>
                <w:szCs w:val="14"/>
                <w:lang w:val="en-GB" w:eastAsia="es-ES"/>
              </w:rPr>
              <w:t>.71</w:t>
            </w:r>
          </w:p>
        </w:tc>
        <w:tc>
          <w:tcPr>
            <w:tcW w:w="331" w:type="pct"/>
            <w:tcBorders>
              <w:top w:val="single" w:sz="4" w:space="0" w:color="auto"/>
            </w:tcBorders>
            <w:vAlign w:val="center"/>
          </w:tcPr>
          <w:p w14:paraId="2F557EEF" w14:textId="77777777" w:rsidR="00AC7436" w:rsidRPr="00FF31D4" w:rsidRDefault="00005B7F">
            <w:pPr>
              <w:spacing w:after="0" w:line="360" w:lineRule="auto"/>
              <w:jc w:val="center"/>
              <w:rPr>
                <w:rFonts w:ascii="Times New Roman" w:hAnsi="Times New Roman" w:cs="Times New Roman"/>
                <w:sz w:val="14"/>
                <w:szCs w:val="14"/>
                <w:lang w:val="en-GB"/>
              </w:rPr>
            </w:pPr>
            <w:r w:rsidRPr="00FF31D4">
              <w:rPr>
                <w:rFonts w:ascii="Times New Roman" w:hAnsi="Times New Roman" w:cs="Times New Roman"/>
                <w:sz w:val="14"/>
                <w:szCs w:val="14"/>
                <w:lang w:val="en-GB"/>
              </w:rPr>
              <w:t>&lt;0.001</w:t>
            </w:r>
          </w:p>
        </w:tc>
      </w:tr>
      <w:tr w:rsidR="00FF31D4" w:rsidRPr="00FF31D4" w14:paraId="45870F90" w14:textId="77777777">
        <w:trPr>
          <w:trHeight w:val="340"/>
        </w:trPr>
        <w:tc>
          <w:tcPr>
            <w:tcW w:w="1002" w:type="pct"/>
            <w:noWrap/>
            <w:vAlign w:val="center"/>
          </w:tcPr>
          <w:p w14:paraId="7C05A028" w14:textId="77777777" w:rsidR="00AC7436" w:rsidRPr="00FF31D4" w:rsidRDefault="00005B7F">
            <w:pPr>
              <w:spacing w:after="0" w:line="360" w:lineRule="auto"/>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 xml:space="preserve">      Physical well</w:t>
            </w:r>
            <w:r w:rsidRPr="00FF31D4">
              <w:rPr>
                <w:rFonts w:ascii="Times New Roman" w:eastAsia="Times New Roman" w:hAnsi="Times New Roman" w:cs="Times New Roman"/>
                <w:sz w:val="14"/>
                <w:szCs w:val="14"/>
                <w:lang w:val="en-US" w:eastAsia="es-ES"/>
              </w:rPr>
              <w:t>-</w:t>
            </w:r>
            <w:r w:rsidRPr="00FF31D4">
              <w:rPr>
                <w:rFonts w:ascii="Times New Roman" w:eastAsia="Times New Roman" w:hAnsi="Times New Roman" w:cs="Times New Roman"/>
                <w:sz w:val="14"/>
                <w:szCs w:val="14"/>
                <w:lang w:val="en-GB" w:eastAsia="es-ES"/>
              </w:rPr>
              <w:t>being</w:t>
            </w:r>
          </w:p>
        </w:tc>
        <w:tc>
          <w:tcPr>
            <w:tcW w:w="500" w:type="pct"/>
            <w:noWrap/>
            <w:vAlign w:val="center"/>
          </w:tcPr>
          <w:p w14:paraId="7EDE0B8C" w14:textId="77777777" w:rsidR="00AC7436" w:rsidRPr="00FF31D4" w:rsidRDefault="00005B7F">
            <w:pPr>
              <w:spacing w:after="0" w:line="36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47.67</w:t>
            </w:r>
            <w:r w:rsidRPr="00FF31D4">
              <w:rPr>
                <w:rFonts w:ascii="Times New Roman" w:hAnsi="Times New Roman" w:cs="Times New Roman"/>
                <w:sz w:val="14"/>
                <w:szCs w:val="14"/>
                <w:shd w:val="clear" w:color="auto" w:fill="FFFFFF"/>
                <w:lang w:val="en-GB"/>
              </w:rPr>
              <w:t>±</w:t>
            </w:r>
            <w:r w:rsidRPr="00FF31D4">
              <w:rPr>
                <w:rFonts w:ascii="Times New Roman" w:eastAsia="Times New Roman" w:hAnsi="Times New Roman" w:cs="Times New Roman"/>
                <w:sz w:val="14"/>
                <w:szCs w:val="14"/>
                <w:lang w:val="en-GB" w:eastAsia="es-ES"/>
              </w:rPr>
              <w:t>8.29</w:t>
            </w:r>
          </w:p>
        </w:tc>
        <w:tc>
          <w:tcPr>
            <w:tcW w:w="499" w:type="pct"/>
            <w:noWrap/>
            <w:vAlign w:val="center"/>
          </w:tcPr>
          <w:p w14:paraId="276E0527" w14:textId="77777777" w:rsidR="00AC7436" w:rsidRPr="00FF31D4" w:rsidRDefault="00005B7F">
            <w:pPr>
              <w:spacing w:after="0" w:line="36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43.45</w:t>
            </w:r>
            <w:r w:rsidRPr="00FF31D4">
              <w:rPr>
                <w:rFonts w:ascii="Times New Roman" w:hAnsi="Times New Roman" w:cs="Times New Roman"/>
                <w:sz w:val="14"/>
                <w:szCs w:val="14"/>
                <w:shd w:val="clear" w:color="auto" w:fill="FFFFFF"/>
                <w:lang w:val="en-GB"/>
              </w:rPr>
              <w:t>±</w:t>
            </w:r>
            <w:r w:rsidRPr="00FF31D4">
              <w:rPr>
                <w:rFonts w:ascii="Times New Roman" w:eastAsia="Times New Roman" w:hAnsi="Times New Roman" w:cs="Times New Roman"/>
                <w:sz w:val="14"/>
                <w:szCs w:val="14"/>
                <w:lang w:val="en-GB" w:eastAsia="es-ES"/>
              </w:rPr>
              <w:t>8.66</w:t>
            </w:r>
          </w:p>
        </w:tc>
        <w:tc>
          <w:tcPr>
            <w:tcW w:w="334" w:type="pct"/>
            <w:tcBorders>
              <w:right w:val="single" w:sz="4" w:space="0" w:color="auto"/>
            </w:tcBorders>
            <w:vAlign w:val="center"/>
          </w:tcPr>
          <w:p w14:paraId="42C8766B" w14:textId="77777777" w:rsidR="00AC7436" w:rsidRPr="00FF31D4" w:rsidRDefault="00005B7F">
            <w:pPr>
              <w:spacing w:after="0" w:line="360" w:lineRule="auto"/>
              <w:jc w:val="center"/>
              <w:rPr>
                <w:rFonts w:ascii="Times New Roman" w:eastAsia="Times New Roman" w:hAnsi="Times New Roman" w:cs="Times New Roman"/>
                <w:sz w:val="14"/>
                <w:szCs w:val="14"/>
                <w:lang w:val="en-GB" w:eastAsia="es-ES"/>
              </w:rPr>
            </w:pPr>
            <w:r w:rsidRPr="00FF31D4">
              <w:rPr>
                <w:rFonts w:ascii="Times New Roman" w:hAnsi="Times New Roman" w:cs="Times New Roman"/>
                <w:sz w:val="14"/>
                <w:szCs w:val="14"/>
                <w:lang w:val="en-GB"/>
              </w:rPr>
              <w:t>&lt;0.001</w:t>
            </w:r>
          </w:p>
        </w:tc>
        <w:tc>
          <w:tcPr>
            <w:tcW w:w="501" w:type="pct"/>
            <w:tcBorders>
              <w:left w:val="single" w:sz="4" w:space="0" w:color="auto"/>
            </w:tcBorders>
            <w:noWrap/>
            <w:vAlign w:val="center"/>
          </w:tcPr>
          <w:p w14:paraId="1F73CB21" w14:textId="77777777" w:rsidR="00AC7436" w:rsidRPr="00FF31D4" w:rsidRDefault="00005B7F">
            <w:pPr>
              <w:spacing w:after="0" w:line="36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49.17</w:t>
            </w:r>
            <w:r w:rsidRPr="00FF31D4">
              <w:rPr>
                <w:rFonts w:ascii="Times New Roman" w:hAnsi="Times New Roman" w:cs="Times New Roman"/>
                <w:sz w:val="14"/>
                <w:szCs w:val="14"/>
                <w:shd w:val="clear" w:color="auto" w:fill="FFFFFF"/>
                <w:lang w:val="en-GB"/>
              </w:rPr>
              <w:t>±</w:t>
            </w:r>
            <w:r w:rsidRPr="00FF31D4">
              <w:rPr>
                <w:rFonts w:ascii="Times New Roman" w:eastAsia="Times New Roman" w:hAnsi="Times New Roman" w:cs="Times New Roman"/>
                <w:sz w:val="14"/>
                <w:szCs w:val="14"/>
                <w:lang w:val="en-GB" w:eastAsia="es-ES"/>
              </w:rPr>
              <w:t>8.75</w:t>
            </w:r>
          </w:p>
        </w:tc>
        <w:tc>
          <w:tcPr>
            <w:tcW w:w="500" w:type="pct"/>
            <w:noWrap/>
            <w:vAlign w:val="center"/>
          </w:tcPr>
          <w:p w14:paraId="384465D0" w14:textId="77777777" w:rsidR="00AC7436" w:rsidRPr="00FF31D4" w:rsidRDefault="00005B7F">
            <w:pPr>
              <w:spacing w:after="0" w:line="36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46.66</w:t>
            </w:r>
            <w:r w:rsidRPr="00FF31D4">
              <w:rPr>
                <w:rFonts w:ascii="Times New Roman" w:hAnsi="Times New Roman" w:cs="Times New Roman"/>
                <w:sz w:val="14"/>
                <w:szCs w:val="14"/>
                <w:shd w:val="clear" w:color="auto" w:fill="FFFFFF"/>
                <w:lang w:val="en-GB"/>
              </w:rPr>
              <w:t>±</w:t>
            </w:r>
            <w:r w:rsidRPr="00FF31D4">
              <w:rPr>
                <w:rFonts w:ascii="Times New Roman" w:eastAsia="Times New Roman" w:hAnsi="Times New Roman" w:cs="Times New Roman"/>
                <w:sz w:val="14"/>
                <w:szCs w:val="14"/>
                <w:lang w:val="en-GB" w:eastAsia="es-ES"/>
              </w:rPr>
              <w:t>8.35</w:t>
            </w:r>
          </w:p>
        </w:tc>
        <w:tc>
          <w:tcPr>
            <w:tcW w:w="334" w:type="pct"/>
            <w:tcBorders>
              <w:right w:val="single" w:sz="4" w:space="0" w:color="auto"/>
            </w:tcBorders>
            <w:vAlign w:val="center"/>
          </w:tcPr>
          <w:p w14:paraId="3302B893" w14:textId="77777777" w:rsidR="00AC7436" w:rsidRPr="00FF31D4" w:rsidRDefault="00005B7F">
            <w:pPr>
              <w:spacing w:after="0" w:line="360" w:lineRule="auto"/>
              <w:jc w:val="center"/>
              <w:rPr>
                <w:rFonts w:ascii="Times New Roman" w:hAnsi="Times New Roman" w:cs="Times New Roman"/>
                <w:sz w:val="14"/>
                <w:szCs w:val="14"/>
                <w:lang w:val="en-GB"/>
              </w:rPr>
            </w:pPr>
            <w:r w:rsidRPr="00FF31D4">
              <w:rPr>
                <w:rFonts w:ascii="Times New Roman" w:hAnsi="Times New Roman" w:cs="Times New Roman"/>
                <w:sz w:val="14"/>
                <w:szCs w:val="14"/>
                <w:lang w:val="en-GB"/>
              </w:rPr>
              <w:t>0.007</w:t>
            </w:r>
          </w:p>
        </w:tc>
        <w:tc>
          <w:tcPr>
            <w:tcW w:w="500" w:type="pct"/>
            <w:tcBorders>
              <w:left w:val="single" w:sz="4" w:space="0" w:color="auto"/>
            </w:tcBorders>
            <w:noWrap/>
            <w:vAlign w:val="center"/>
          </w:tcPr>
          <w:p w14:paraId="0A6FBB58" w14:textId="77777777" w:rsidR="00AC7436" w:rsidRPr="00FF31D4" w:rsidRDefault="00005B7F">
            <w:pPr>
              <w:spacing w:after="0" w:line="36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46.16</w:t>
            </w:r>
            <w:r w:rsidRPr="00FF31D4">
              <w:rPr>
                <w:rFonts w:ascii="Times New Roman" w:hAnsi="Times New Roman" w:cs="Times New Roman"/>
                <w:sz w:val="14"/>
                <w:szCs w:val="14"/>
                <w:shd w:val="clear" w:color="auto" w:fill="FFFFFF"/>
                <w:lang w:val="en-GB"/>
              </w:rPr>
              <w:t>±</w:t>
            </w:r>
            <w:r w:rsidRPr="00FF31D4">
              <w:rPr>
                <w:rFonts w:ascii="Times New Roman" w:eastAsia="Times New Roman" w:hAnsi="Times New Roman" w:cs="Times New Roman"/>
                <w:sz w:val="14"/>
                <w:szCs w:val="14"/>
                <w:lang w:val="en-GB" w:eastAsia="es-ES"/>
              </w:rPr>
              <w:t>7.54</w:t>
            </w:r>
          </w:p>
        </w:tc>
        <w:tc>
          <w:tcPr>
            <w:tcW w:w="500" w:type="pct"/>
            <w:vAlign w:val="center"/>
          </w:tcPr>
          <w:p w14:paraId="7B72CD92" w14:textId="77777777" w:rsidR="00AC7436" w:rsidRPr="00FF31D4" w:rsidRDefault="00005B7F">
            <w:pPr>
              <w:spacing w:after="0" w:line="360" w:lineRule="auto"/>
              <w:jc w:val="center"/>
              <w:rPr>
                <w:rFonts w:ascii="Times New Roman" w:hAnsi="Times New Roman" w:cs="Times New Roman"/>
                <w:sz w:val="14"/>
                <w:szCs w:val="14"/>
                <w:lang w:val="en-GB"/>
              </w:rPr>
            </w:pPr>
            <w:r w:rsidRPr="00FF31D4">
              <w:rPr>
                <w:rFonts w:ascii="Times New Roman" w:eastAsia="Times New Roman" w:hAnsi="Times New Roman" w:cs="Times New Roman"/>
                <w:sz w:val="14"/>
                <w:szCs w:val="14"/>
                <w:lang w:val="en-GB" w:eastAsia="es-ES"/>
              </w:rPr>
              <w:t>40.18</w:t>
            </w:r>
            <w:r w:rsidRPr="00FF31D4">
              <w:rPr>
                <w:rFonts w:ascii="Times New Roman" w:hAnsi="Times New Roman" w:cs="Times New Roman"/>
                <w:sz w:val="14"/>
                <w:szCs w:val="14"/>
                <w:shd w:val="clear" w:color="auto" w:fill="FFFFFF"/>
                <w:lang w:val="en-GB"/>
              </w:rPr>
              <w:t>±7.72</w:t>
            </w:r>
          </w:p>
        </w:tc>
        <w:tc>
          <w:tcPr>
            <w:tcW w:w="331" w:type="pct"/>
            <w:vAlign w:val="center"/>
          </w:tcPr>
          <w:p w14:paraId="7E45597D" w14:textId="77777777" w:rsidR="00AC7436" w:rsidRPr="00FF31D4" w:rsidRDefault="00005B7F">
            <w:pPr>
              <w:spacing w:after="0" w:line="360" w:lineRule="auto"/>
              <w:jc w:val="center"/>
              <w:rPr>
                <w:rFonts w:ascii="Times New Roman" w:hAnsi="Times New Roman" w:cs="Times New Roman"/>
                <w:sz w:val="14"/>
                <w:szCs w:val="14"/>
                <w:lang w:val="en-GB"/>
              </w:rPr>
            </w:pPr>
            <w:r w:rsidRPr="00FF31D4">
              <w:rPr>
                <w:rFonts w:ascii="Times New Roman" w:hAnsi="Times New Roman" w:cs="Times New Roman"/>
                <w:sz w:val="14"/>
                <w:szCs w:val="14"/>
                <w:lang w:val="en-GB"/>
              </w:rPr>
              <w:t>&lt;0.001</w:t>
            </w:r>
          </w:p>
        </w:tc>
      </w:tr>
      <w:tr w:rsidR="00FF31D4" w:rsidRPr="00FF31D4" w14:paraId="17D7BA84" w14:textId="77777777">
        <w:trPr>
          <w:trHeight w:val="340"/>
        </w:trPr>
        <w:tc>
          <w:tcPr>
            <w:tcW w:w="1002" w:type="pct"/>
            <w:noWrap/>
            <w:vAlign w:val="center"/>
          </w:tcPr>
          <w:p w14:paraId="696CEA97" w14:textId="77777777" w:rsidR="00AC7436" w:rsidRPr="00FF31D4" w:rsidRDefault="00005B7F">
            <w:pPr>
              <w:spacing w:after="0" w:line="360" w:lineRule="auto"/>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 xml:space="preserve">      Psychological well</w:t>
            </w:r>
            <w:r w:rsidRPr="00FF31D4">
              <w:rPr>
                <w:rFonts w:ascii="Times New Roman" w:eastAsia="Times New Roman" w:hAnsi="Times New Roman" w:cs="Times New Roman"/>
                <w:sz w:val="14"/>
                <w:szCs w:val="14"/>
                <w:lang w:val="en-US" w:eastAsia="es-ES"/>
              </w:rPr>
              <w:t>-</w:t>
            </w:r>
            <w:r w:rsidRPr="00FF31D4">
              <w:rPr>
                <w:rFonts w:ascii="Times New Roman" w:eastAsia="Times New Roman" w:hAnsi="Times New Roman" w:cs="Times New Roman"/>
                <w:sz w:val="14"/>
                <w:szCs w:val="14"/>
                <w:lang w:val="en-GB" w:eastAsia="es-ES"/>
              </w:rPr>
              <w:t>being</w:t>
            </w:r>
          </w:p>
        </w:tc>
        <w:tc>
          <w:tcPr>
            <w:tcW w:w="500" w:type="pct"/>
            <w:noWrap/>
            <w:vAlign w:val="center"/>
          </w:tcPr>
          <w:p w14:paraId="1270968C" w14:textId="77777777" w:rsidR="00AC7436" w:rsidRPr="00FF31D4" w:rsidRDefault="00005B7F">
            <w:pPr>
              <w:spacing w:after="0" w:line="36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52.04</w:t>
            </w:r>
            <w:r w:rsidRPr="00FF31D4">
              <w:rPr>
                <w:rFonts w:ascii="Times New Roman" w:hAnsi="Times New Roman" w:cs="Times New Roman"/>
                <w:sz w:val="14"/>
                <w:szCs w:val="14"/>
                <w:shd w:val="clear" w:color="auto" w:fill="FFFFFF"/>
                <w:lang w:val="en-GB"/>
              </w:rPr>
              <w:t>±</w:t>
            </w:r>
            <w:r w:rsidRPr="00FF31D4">
              <w:rPr>
                <w:rFonts w:ascii="Times New Roman" w:eastAsia="Times New Roman" w:hAnsi="Times New Roman" w:cs="Times New Roman"/>
                <w:sz w:val="14"/>
                <w:szCs w:val="14"/>
                <w:lang w:val="en-GB" w:eastAsia="es-ES"/>
              </w:rPr>
              <w:t>9.62</w:t>
            </w:r>
          </w:p>
        </w:tc>
        <w:tc>
          <w:tcPr>
            <w:tcW w:w="499" w:type="pct"/>
            <w:noWrap/>
            <w:vAlign w:val="center"/>
          </w:tcPr>
          <w:p w14:paraId="044C3DB9" w14:textId="77777777" w:rsidR="00AC7436" w:rsidRPr="00FF31D4" w:rsidRDefault="00005B7F">
            <w:pPr>
              <w:spacing w:after="0" w:line="36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48.27</w:t>
            </w:r>
            <w:r w:rsidRPr="00FF31D4">
              <w:rPr>
                <w:rFonts w:ascii="Times New Roman" w:hAnsi="Times New Roman" w:cs="Times New Roman"/>
                <w:sz w:val="14"/>
                <w:szCs w:val="14"/>
                <w:shd w:val="clear" w:color="auto" w:fill="FFFFFF"/>
                <w:lang w:val="en-GB"/>
              </w:rPr>
              <w:t>±</w:t>
            </w:r>
            <w:r w:rsidRPr="00FF31D4">
              <w:rPr>
                <w:rFonts w:ascii="Times New Roman" w:eastAsia="Times New Roman" w:hAnsi="Times New Roman" w:cs="Times New Roman"/>
                <w:sz w:val="14"/>
                <w:szCs w:val="14"/>
                <w:lang w:val="en-GB" w:eastAsia="es-ES"/>
              </w:rPr>
              <w:t>8.70</w:t>
            </w:r>
          </w:p>
        </w:tc>
        <w:tc>
          <w:tcPr>
            <w:tcW w:w="334" w:type="pct"/>
            <w:tcBorders>
              <w:right w:val="single" w:sz="4" w:space="0" w:color="auto"/>
            </w:tcBorders>
            <w:vAlign w:val="center"/>
          </w:tcPr>
          <w:p w14:paraId="7BE892E8" w14:textId="77777777" w:rsidR="00AC7436" w:rsidRPr="00FF31D4" w:rsidRDefault="00005B7F">
            <w:pPr>
              <w:spacing w:after="0" w:line="360" w:lineRule="auto"/>
              <w:jc w:val="center"/>
              <w:rPr>
                <w:rFonts w:ascii="Times New Roman" w:eastAsia="Times New Roman" w:hAnsi="Times New Roman" w:cs="Times New Roman"/>
                <w:sz w:val="14"/>
                <w:szCs w:val="14"/>
                <w:lang w:val="en-GB" w:eastAsia="es-ES"/>
              </w:rPr>
            </w:pPr>
            <w:r w:rsidRPr="00FF31D4">
              <w:rPr>
                <w:rFonts w:ascii="Times New Roman" w:hAnsi="Times New Roman" w:cs="Times New Roman"/>
                <w:sz w:val="14"/>
                <w:szCs w:val="14"/>
                <w:lang w:val="en-GB"/>
              </w:rPr>
              <w:t>&lt;0.001</w:t>
            </w:r>
          </w:p>
        </w:tc>
        <w:tc>
          <w:tcPr>
            <w:tcW w:w="501" w:type="pct"/>
            <w:tcBorders>
              <w:left w:val="single" w:sz="4" w:space="0" w:color="auto"/>
            </w:tcBorders>
            <w:noWrap/>
            <w:vAlign w:val="center"/>
          </w:tcPr>
          <w:p w14:paraId="2458D108" w14:textId="77777777" w:rsidR="00AC7436" w:rsidRPr="00FF31D4" w:rsidRDefault="00005B7F">
            <w:pPr>
              <w:spacing w:after="0" w:line="36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51.37</w:t>
            </w:r>
            <w:r w:rsidRPr="00FF31D4">
              <w:rPr>
                <w:rFonts w:ascii="Times New Roman" w:hAnsi="Times New Roman" w:cs="Times New Roman"/>
                <w:sz w:val="14"/>
                <w:szCs w:val="14"/>
                <w:shd w:val="clear" w:color="auto" w:fill="FFFFFF"/>
                <w:lang w:val="en-GB"/>
              </w:rPr>
              <w:t>±8</w:t>
            </w:r>
            <w:r w:rsidRPr="00FF31D4">
              <w:rPr>
                <w:rFonts w:ascii="Times New Roman" w:eastAsia="Times New Roman" w:hAnsi="Times New Roman" w:cs="Times New Roman"/>
                <w:sz w:val="14"/>
                <w:szCs w:val="14"/>
                <w:lang w:val="en-GB" w:eastAsia="es-ES"/>
              </w:rPr>
              <w:t>.61</w:t>
            </w:r>
          </w:p>
        </w:tc>
        <w:tc>
          <w:tcPr>
            <w:tcW w:w="500" w:type="pct"/>
            <w:noWrap/>
            <w:vAlign w:val="center"/>
          </w:tcPr>
          <w:p w14:paraId="7E57F865" w14:textId="77777777" w:rsidR="00AC7436" w:rsidRPr="00FF31D4" w:rsidRDefault="00005B7F">
            <w:pPr>
              <w:spacing w:after="0" w:line="36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50.33</w:t>
            </w:r>
            <w:r w:rsidRPr="00FF31D4">
              <w:rPr>
                <w:rFonts w:ascii="Times New Roman" w:hAnsi="Times New Roman" w:cs="Times New Roman"/>
                <w:sz w:val="14"/>
                <w:szCs w:val="14"/>
                <w:shd w:val="clear" w:color="auto" w:fill="FFFFFF"/>
                <w:lang w:val="en-GB"/>
              </w:rPr>
              <w:t>±8</w:t>
            </w:r>
            <w:r w:rsidRPr="00FF31D4">
              <w:rPr>
                <w:rFonts w:ascii="Times New Roman" w:eastAsia="Times New Roman" w:hAnsi="Times New Roman" w:cs="Times New Roman"/>
                <w:sz w:val="14"/>
                <w:szCs w:val="14"/>
                <w:lang w:val="en-GB" w:eastAsia="es-ES"/>
              </w:rPr>
              <w:t>.99</w:t>
            </w:r>
          </w:p>
        </w:tc>
        <w:tc>
          <w:tcPr>
            <w:tcW w:w="334" w:type="pct"/>
            <w:tcBorders>
              <w:right w:val="single" w:sz="4" w:space="0" w:color="auto"/>
            </w:tcBorders>
            <w:vAlign w:val="center"/>
          </w:tcPr>
          <w:p w14:paraId="0FE12864" w14:textId="77777777" w:rsidR="00AC7436" w:rsidRPr="00FF31D4" w:rsidRDefault="00005B7F">
            <w:pPr>
              <w:spacing w:after="0" w:line="360" w:lineRule="auto"/>
              <w:jc w:val="center"/>
              <w:rPr>
                <w:rFonts w:ascii="Times New Roman" w:hAnsi="Times New Roman" w:cs="Times New Roman"/>
                <w:sz w:val="14"/>
                <w:szCs w:val="14"/>
                <w:lang w:val="en-GB"/>
              </w:rPr>
            </w:pPr>
            <w:r w:rsidRPr="00FF31D4">
              <w:rPr>
                <w:rFonts w:ascii="Times New Roman" w:hAnsi="Times New Roman" w:cs="Times New Roman"/>
                <w:sz w:val="14"/>
                <w:szCs w:val="14"/>
                <w:lang w:val="en-GB"/>
              </w:rPr>
              <w:t>0.085</w:t>
            </w:r>
          </w:p>
        </w:tc>
        <w:tc>
          <w:tcPr>
            <w:tcW w:w="500" w:type="pct"/>
            <w:tcBorders>
              <w:left w:val="single" w:sz="4" w:space="0" w:color="auto"/>
            </w:tcBorders>
            <w:noWrap/>
            <w:vAlign w:val="center"/>
          </w:tcPr>
          <w:p w14:paraId="4BD734CE" w14:textId="77777777" w:rsidR="00AC7436" w:rsidRPr="00FF31D4" w:rsidRDefault="00005B7F">
            <w:pPr>
              <w:spacing w:after="0" w:line="36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52.71</w:t>
            </w:r>
            <w:r w:rsidRPr="00FF31D4">
              <w:rPr>
                <w:rFonts w:ascii="Times New Roman" w:hAnsi="Times New Roman" w:cs="Times New Roman"/>
                <w:sz w:val="14"/>
                <w:szCs w:val="14"/>
                <w:shd w:val="clear" w:color="auto" w:fill="FFFFFF"/>
                <w:lang w:val="en-GB"/>
              </w:rPr>
              <w:t>±10</w:t>
            </w:r>
            <w:r w:rsidRPr="00FF31D4">
              <w:rPr>
                <w:rFonts w:ascii="Times New Roman" w:eastAsia="Times New Roman" w:hAnsi="Times New Roman" w:cs="Times New Roman"/>
                <w:sz w:val="14"/>
                <w:szCs w:val="14"/>
                <w:lang w:val="en-GB" w:eastAsia="es-ES"/>
              </w:rPr>
              <w:t>.51</w:t>
            </w:r>
          </w:p>
        </w:tc>
        <w:tc>
          <w:tcPr>
            <w:tcW w:w="500" w:type="pct"/>
            <w:vAlign w:val="center"/>
          </w:tcPr>
          <w:p w14:paraId="1A11B0AF" w14:textId="77777777" w:rsidR="00AC7436" w:rsidRPr="00FF31D4" w:rsidRDefault="00005B7F">
            <w:pPr>
              <w:spacing w:after="0" w:line="360" w:lineRule="auto"/>
              <w:jc w:val="center"/>
              <w:rPr>
                <w:rFonts w:ascii="Times New Roman" w:hAnsi="Times New Roman" w:cs="Times New Roman"/>
                <w:sz w:val="14"/>
                <w:szCs w:val="14"/>
                <w:lang w:val="en-GB"/>
              </w:rPr>
            </w:pPr>
            <w:r w:rsidRPr="00FF31D4">
              <w:rPr>
                <w:rFonts w:ascii="Times New Roman" w:eastAsia="Times New Roman" w:hAnsi="Times New Roman" w:cs="Times New Roman"/>
                <w:sz w:val="14"/>
                <w:szCs w:val="14"/>
                <w:lang w:val="en-GB" w:eastAsia="es-ES"/>
              </w:rPr>
              <w:t>46.16</w:t>
            </w:r>
            <w:r w:rsidRPr="00FF31D4">
              <w:rPr>
                <w:rFonts w:ascii="Times New Roman" w:hAnsi="Times New Roman" w:cs="Times New Roman"/>
                <w:sz w:val="14"/>
                <w:szCs w:val="14"/>
                <w:shd w:val="clear" w:color="auto" w:fill="FFFFFF"/>
                <w:lang w:val="en-GB"/>
              </w:rPr>
              <w:t>±7</w:t>
            </w:r>
            <w:r w:rsidRPr="00FF31D4">
              <w:rPr>
                <w:rFonts w:ascii="Times New Roman" w:eastAsia="Times New Roman" w:hAnsi="Times New Roman" w:cs="Times New Roman"/>
                <w:sz w:val="14"/>
                <w:szCs w:val="14"/>
                <w:lang w:val="en-GB" w:eastAsia="es-ES"/>
              </w:rPr>
              <w:t>.87</w:t>
            </w:r>
          </w:p>
        </w:tc>
        <w:tc>
          <w:tcPr>
            <w:tcW w:w="331" w:type="pct"/>
            <w:vAlign w:val="center"/>
          </w:tcPr>
          <w:p w14:paraId="33B3E7FE" w14:textId="77777777" w:rsidR="00AC7436" w:rsidRPr="00FF31D4" w:rsidRDefault="00005B7F">
            <w:pPr>
              <w:spacing w:after="0" w:line="360" w:lineRule="auto"/>
              <w:jc w:val="center"/>
              <w:rPr>
                <w:rFonts w:ascii="Times New Roman" w:hAnsi="Times New Roman" w:cs="Times New Roman"/>
                <w:sz w:val="14"/>
                <w:szCs w:val="14"/>
                <w:lang w:val="en-GB"/>
              </w:rPr>
            </w:pPr>
            <w:r w:rsidRPr="00FF31D4">
              <w:rPr>
                <w:rFonts w:ascii="Times New Roman" w:hAnsi="Times New Roman" w:cs="Times New Roman"/>
                <w:sz w:val="14"/>
                <w:szCs w:val="14"/>
                <w:lang w:val="en-GB"/>
              </w:rPr>
              <w:t>&lt;0.001</w:t>
            </w:r>
          </w:p>
        </w:tc>
      </w:tr>
      <w:tr w:rsidR="00FF31D4" w:rsidRPr="00FF31D4" w14:paraId="6E1573E9" w14:textId="77777777">
        <w:trPr>
          <w:trHeight w:val="340"/>
        </w:trPr>
        <w:tc>
          <w:tcPr>
            <w:tcW w:w="1002" w:type="pct"/>
            <w:noWrap/>
            <w:vAlign w:val="center"/>
          </w:tcPr>
          <w:p w14:paraId="4A1B191E" w14:textId="77777777" w:rsidR="00AC7436" w:rsidRPr="00FF31D4" w:rsidRDefault="00005B7F">
            <w:pPr>
              <w:spacing w:after="0" w:line="360" w:lineRule="auto"/>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 xml:space="preserve">      School environment</w:t>
            </w:r>
          </w:p>
        </w:tc>
        <w:tc>
          <w:tcPr>
            <w:tcW w:w="500" w:type="pct"/>
            <w:noWrap/>
            <w:vAlign w:val="center"/>
          </w:tcPr>
          <w:p w14:paraId="0C9F7276" w14:textId="77777777" w:rsidR="00AC7436" w:rsidRPr="00FF31D4" w:rsidRDefault="00005B7F">
            <w:pPr>
              <w:spacing w:after="0" w:line="36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52.75</w:t>
            </w:r>
            <w:r w:rsidRPr="00FF31D4">
              <w:rPr>
                <w:rFonts w:ascii="Times New Roman" w:hAnsi="Times New Roman" w:cs="Times New Roman"/>
                <w:sz w:val="14"/>
                <w:szCs w:val="14"/>
                <w:shd w:val="clear" w:color="auto" w:fill="FFFFFF"/>
                <w:lang w:val="en-GB"/>
              </w:rPr>
              <w:t>±</w:t>
            </w:r>
            <w:r w:rsidRPr="00FF31D4">
              <w:rPr>
                <w:rFonts w:ascii="Times New Roman" w:eastAsia="Times New Roman" w:hAnsi="Times New Roman" w:cs="Times New Roman"/>
                <w:sz w:val="14"/>
                <w:szCs w:val="14"/>
                <w:lang w:val="en-GB" w:eastAsia="es-ES"/>
              </w:rPr>
              <w:t>9.83</w:t>
            </w:r>
          </w:p>
        </w:tc>
        <w:tc>
          <w:tcPr>
            <w:tcW w:w="499" w:type="pct"/>
            <w:noWrap/>
            <w:vAlign w:val="center"/>
          </w:tcPr>
          <w:p w14:paraId="5BF6D52F" w14:textId="77777777" w:rsidR="00AC7436" w:rsidRPr="00FF31D4" w:rsidRDefault="00005B7F">
            <w:pPr>
              <w:spacing w:after="0" w:line="36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46.57</w:t>
            </w:r>
            <w:r w:rsidRPr="00FF31D4">
              <w:rPr>
                <w:rFonts w:ascii="Times New Roman" w:hAnsi="Times New Roman" w:cs="Times New Roman"/>
                <w:sz w:val="14"/>
                <w:szCs w:val="14"/>
                <w:shd w:val="clear" w:color="auto" w:fill="FFFFFF"/>
                <w:lang w:val="en-GB"/>
              </w:rPr>
              <w:t>±</w:t>
            </w:r>
            <w:r w:rsidRPr="00FF31D4">
              <w:rPr>
                <w:rFonts w:ascii="Times New Roman" w:eastAsia="Times New Roman" w:hAnsi="Times New Roman" w:cs="Times New Roman"/>
                <w:sz w:val="14"/>
                <w:szCs w:val="14"/>
                <w:lang w:val="en-GB" w:eastAsia="es-ES"/>
              </w:rPr>
              <w:t>7.69</w:t>
            </w:r>
          </w:p>
        </w:tc>
        <w:tc>
          <w:tcPr>
            <w:tcW w:w="334" w:type="pct"/>
            <w:tcBorders>
              <w:right w:val="single" w:sz="4" w:space="0" w:color="auto"/>
            </w:tcBorders>
            <w:vAlign w:val="center"/>
          </w:tcPr>
          <w:p w14:paraId="275D4E62" w14:textId="77777777" w:rsidR="00AC7436" w:rsidRPr="00FF31D4" w:rsidRDefault="00005B7F">
            <w:pPr>
              <w:spacing w:after="0" w:line="360" w:lineRule="auto"/>
              <w:jc w:val="center"/>
              <w:rPr>
                <w:rFonts w:ascii="Times New Roman" w:eastAsia="Times New Roman" w:hAnsi="Times New Roman" w:cs="Times New Roman"/>
                <w:sz w:val="14"/>
                <w:szCs w:val="14"/>
                <w:lang w:val="en-GB" w:eastAsia="es-ES"/>
              </w:rPr>
            </w:pPr>
            <w:r w:rsidRPr="00FF31D4">
              <w:rPr>
                <w:rFonts w:ascii="Times New Roman" w:hAnsi="Times New Roman" w:cs="Times New Roman"/>
                <w:sz w:val="14"/>
                <w:szCs w:val="14"/>
                <w:lang w:val="en-GB"/>
              </w:rPr>
              <w:t>&lt;0.001</w:t>
            </w:r>
          </w:p>
        </w:tc>
        <w:tc>
          <w:tcPr>
            <w:tcW w:w="501" w:type="pct"/>
            <w:tcBorders>
              <w:left w:val="single" w:sz="4" w:space="0" w:color="auto"/>
            </w:tcBorders>
            <w:noWrap/>
            <w:vAlign w:val="center"/>
          </w:tcPr>
          <w:p w14:paraId="4194C511" w14:textId="77777777" w:rsidR="00AC7436" w:rsidRPr="00FF31D4" w:rsidRDefault="00005B7F">
            <w:pPr>
              <w:spacing w:after="0" w:line="36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51.69</w:t>
            </w:r>
            <w:r w:rsidRPr="00FF31D4">
              <w:rPr>
                <w:rFonts w:ascii="Times New Roman" w:hAnsi="Times New Roman" w:cs="Times New Roman"/>
                <w:sz w:val="14"/>
                <w:szCs w:val="14"/>
                <w:shd w:val="clear" w:color="auto" w:fill="FFFFFF"/>
                <w:lang w:val="en-GB"/>
              </w:rPr>
              <w:t>±</w:t>
            </w:r>
            <w:r w:rsidRPr="00FF31D4">
              <w:rPr>
                <w:rFonts w:ascii="Times New Roman" w:eastAsia="Times New Roman" w:hAnsi="Times New Roman" w:cs="Times New Roman"/>
                <w:sz w:val="14"/>
                <w:szCs w:val="14"/>
                <w:lang w:val="en-GB" w:eastAsia="es-ES"/>
              </w:rPr>
              <w:t>9.55</w:t>
            </w:r>
          </w:p>
        </w:tc>
        <w:tc>
          <w:tcPr>
            <w:tcW w:w="500" w:type="pct"/>
            <w:noWrap/>
            <w:vAlign w:val="center"/>
          </w:tcPr>
          <w:p w14:paraId="0358F140" w14:textId="77777777" w:rsidR="00AC7436" w:rsidRPr="00FF31D4" w:rsidRDefault="00005B7F">
            <w:pPr>
              <w:spacing w:after="0" w:line="36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46.40</w:t>
            </w:r>
            <w:r w:rsidRPr="00FF31D4">
              <w:rPr>
                <w:rFonts w:ascii="Times New Roman" w:hAnsi="Times New Roman" w:cs="Times New Roman"/>
                <w:sz w:val="14"/>
                <w:szCs w:val="14"/>
                <w:shd w:val="clear" w:color="auto" w:fill="FFFFFF"/>
                <w:lang w:val="en-GB"/>
              </w:rPr>
              <w:t>±7</w:t>
            </w:r>
            <w:r w:rsidRPr="00FF31D4">
              <w:rPr>
                <w:rFonts w:ascii="Times New Roman" w:eastAsia="Times New Roman" w:hAnsi="Times New Roman" w:cs="Times New Roman"/>
                <w:sz w:val="14"/>
                <w:szCs w:val="14"/>
                <w:lang w:val="en-GB" w:eastAsia="es-ES"/>
              </w:rPr>
              <w:t>.56</w:t>
            </w:r>
          </w:p>
        </w:tc>
        <w:tc>
          <w:tcPr>
            <w:tcW w:w="334" w:type="pct"/>
            <w:tcBorders>
              <w:right w:val="single" w:sz="4" w:space="0" w:color="auto"/>
            </w:tcBorders>
            <w:vAlign w:val="center"/>
          </w:tcPr>
          <w:p w14:paraId="062BD016" w14:textId="77777777" w:rsidR="00AC7436" w:rsidRPr="00FF31D4" w:rsidRDefault="00005B7F">
            <w:pPr>
              <w:spacing w:after="0" w:line="360" w:lineRule="auto"/>
              <w:jc w:val="center"/>
              <w:rPr>
                <w:rFonts w:ascii="Times New Roman" w:hAnsi="Times New Roman" w:cs="Times New Roman"/>
                <w:sz w:val="14"/>
                <w:szCs w:val="14"/>
                <w:lang w:val="en-GB"/>
              </w:rPr>
            </w:pPr>
            <w:r w:rsidRPr="00FF31D4">
              <w:rPr>
                <w:rFonts w:ascii="Times New Roman" w:hAnsi="Times New Roman" w:cs="Times New Roman"/>
                <w:sz w:val="14"/>
                <w:szCs w:val="14"/>
                <w:lang w:val="en-GB"/>
              </w:rPr>
              <w:t>&lt;0.001</w:t>
            </w:r>
          </w:p>
        </w:tc>
        <w:tc>
          <w:tcPr>
            <w:tcW w:w="500" w:type="pct"/>
            <w:tcBorders>
              <w:left w:val="single" w:sz="4" w:space="0" w:color="auto"/>
            </w:tcBorders>
            <w:noWrap/>
            <w:vAlign w:val="center"/>
          </w:tcPr>
          <w:p w14:paraId="59DA996F" w14:textId="77777777" w:rsidR="00AC7436" w:rsidRPr="00FF31D4" w:rsidRDefault="00005B7F">
            <w:pPr>
              <w:spacing w:after="0" w:line="36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53.81</w:t>
            </w:r>
            <w:r w:rsidRPr="00FF31D4">
              <w:rPr>
                <w:rFonts w:ascii="Times New Roman" w:hAnsi="Times New Roman" w:cs="Times New Roman"/>
                <w:sz w:val="14"/>
                <w:szCs w:val="14"/>
                <w:shd w:val="clear" w:color="auto" w:fill="FFFFFF"/>
                <w:lang w:val="en-GB"/>
              </w:rPr>
              <w:t>±10</w:t>
            </w:r>
            <w:r w:rsidRPr="00FF31D4">
              <w:rPr>
                <w:rFonts w:ascii="Times New Roman" w:eastAsia="Times New Roman" w:hAnsi="Times New Roman" w:cs="Times New Roman"/>
                <w:sz w:val="14"/>
                <w:szCs w:val="14"/>
                <w:lang w:val="en-GB" w:eastAsia="es-ES"/>
              </w:rPr>
              <w:t>.02</w:t>
            </w:r>
          </w:p>
        </w:tc>
        <w:tc>
          <w:tcPr>
            <w:tcW w:w="500" w:type="pct"/>
            <w:vAlign w:val="center"/>
          </w:tcPr>
          <w:p w14:paraId="323D0F11" w14:textId="77777777" w:rsidR="00AC7436" w:rsidRPr="00FF31D4" w:rsidRDefault="00005B7F">
            <w:pPr>
              <w:spacing w:after="0" w:line="360" w:lineRule="auto"/>
              <w:jc w:val="center"/>
              <w:rPr>
                <w:rFonts w:ascii="Times New Roman" w:hAnsi="Times New Roman" w:cs="Times New Roman"/>
                <w:sz w:val="14"/>
                <w:szCs w:val="14"/>
                <w:lang w:val="en-GB"/>
              </w:rPr>
            </w:pPr>
            <w:r w:rsidRPr="00FF31D4">
              <w:rPr>
                <w:rFonts w:ascii="Times New Roman" w:eastAsia="Times New Roman" w:hAnsi="Times New Roman" w:cs="Times New Roman"/>
                <w:sz w:val="14"/>
                <w:szCs w:val="14"/>
                <w:lang w:val="en-GB" w:eastAsia="es-ES"/>
              </w:rPr>
              <w:t>46.75</w:t>
            </w:r>
            <w:r w:rsidRPr="00FF31D4">
              <w:rPr>
                <w:rFonts w:ascii="Times New Roman" w:hAnsi="Times New Roman" w:cs="Times New Roman"/>
                <w:sz w:val="14"/>
                <w:szCs w:val="14"/>
                <w:shd w:val="clear" w:color="auto" w:fill="FFFFFF"/>
                <w:lang w:val="en-GB"/>
              </w:rPr>
              <w:t>±7</w:t>
            </w:r>
            <w:r w:rsidRPr="00FF31D4">
              <w:rPr>
                <w:rFonts w:ascii="Times New Roman" w:eastAsia="Times New Roman" w:hAnsi="Times New Roman" w:cs="Times New Roman"/>
                <w:sz w:val="14"/>
                <w:szCs w:val="14"/>
                <w:lang w:val="en-GB" w:eastAsia="es-ES"/>
              </w:rPr>
              <w:t>.84</w:t>
            </w:r>
          </w:p>
        </w:tc>
        <w:tc>
          <w:tcPr>
            <w:tcW w:w="331" w:type="pct"/>
            <w:vAlign w:val="center"/>
          </w:tcPr>
          <w:p w14:paraId="6B77CD8C" w14:textId="77777777" w:rsidR="00AC7436" w:rsidRPr="00FF31D4" w:rsidRDefault="00005B7F">
            <w:pPr>
              <w:spacing w:after="0" w:line="360" w:lineRule="auto"/>
              <w:jc w:val="center"/>
              <w:rPr>
                <w:rFonts w:ascii="Times New Roman" w:hAnsi="Times New Roman" w:cs="Times New Roman"/>
                <w:sz w:val="14"/>
                <w:szCs w:val="14"/>
                <w:lang w:val="en-GB"/>
              </w:rPr>
            </w:pPr>
            <w:r w:rsidRPr="00FF31D4">
              <w:rPr>
                <w:rFonts w:ascii="Times New Roman" w:hAnsi="Times New Roman" w:cs="Times New Roman"/>
                <w:sz w:val="14"/>
                <w:szCs w:val="14"/>
                <w:lang w:val="en-GB"/>
              </w:rPr>
              <w:t>&lt;0.001</w:t>
            </w:r>
          </w:p>
        </w:tc>
      </w:tr>
      <w:tr w:rsidR="00FF31D4" w:rsidRPr="00FF31D4" w14:paraId="5405A3E1" w14:textId="77777777">
        <w:trPr>
          <w:trHeight w:val="340"/>
        </w:trPr>
        <w:tc>
          <w:tcPr>
            <w:tcW w:w="1002" w:type="pct"/>
            <w:noWrap/>
            <w:vAlign w:val="center"/>
          </w:tcPr>
          <w:p w14:paraId="480C9BD1" w14:textId="77777777" w:rsidR="00AC7436" w:rsidRPr="00FF31D4" w:rsidRDefault="00005B7F">
            <w:pPr>
              <w:spacing w:after="0" w:line="360" w:lineRule="auto"/>
              <w:ind w:left="254" w:hanging="254"/>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 xml:space="preserve">      Autonomy and parental    relationships</w:t>
            </w:r>
          </w:p>
        </w:tc>
        <w:tc>
          <w:tcPr>
            <w:tcW w:w="500" w:type="pct"/>
            <w:noWrap/>
            <w:vAlign w:val="center"/>
          </w:tcPr>
          <w:p w14:paraId="26C2899A" w14:textId="77777777" w:rsidR="00AC7436" w:rsidRPr="00FF31D4" w:rsidRDefault="00005B7F">
            <w:pPr>
              <w:spacing w:after="0" w:line="36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52.20</w:t>
            </w:r>
            <w:r w:rsidRPr="00FF31D4">
              <w:rPr>
                <w:rFonts w:ascii="Times New Roman" w:hAnsi="Times New Roman" w:cs="Times New Roman"/>
                <w:sz w:val="14"/>
                <w:szCs w:val="14"/>
                <w:shd w:val="clear" w:color="auto" w:fill="FFFFFF"/>
                <w:lang w:val="en-GB"/>
              </w:rPr>
              <w:t>±</w:t>
            </w:r>
            <w:r w:rsidRPr="00FF31D4">
              <w:rPr>
                <w:rFonts w:ascii="Times New Roman" w:eastAsia="Times New Roman" w:hAnsi="Times New Roman" w:cs="Times New Roman"/>
                <w:sz w:val="14"/>
                <w:szCs w:val="14"/>
                <w:lang w:val="en-GB" w:eastAsia="es-ES"/>
              </w:rPr>
              <w:t>9.08</w:t>
            </w:r>
          </w:p>
        </w:tc>
        <w:tc>
          <w:tcPr>
            <w:tcW w:w="499" w:type="pct"/>
            <w:noWrap/>
            <w:vAlign w:val="center"/>
          </w:tcPr>
          <w:p w14:paraId="1025A946" w14:textId="77777777" w:rsidR="00AC7436" w:rsidRPr="00FF31D4" w:rsidRDefault="00005B7F">
            <w:pPr>
              <w:spacing w:after="0" w:line="36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50.02</w:t>
            </w:r>
            <w:r w:rsidRPr="00FF31D4">
              <w:rPr>
                <w:rFonts w:ascii="Times New Roman" w:hAnsi="Times New Roman" w:cs="Times New Roman"/>
                <w:sz w:val="14"/>
                <w:szCs w:val="14"/>
                <w:shd w:val="clear" w:color="auto" w:fill="FFFFFF"/>
                <w:lang w:val="en-GB"/>
              </w:rPr>
              <w:t>±</w:t>
            </w:r>
            <w:r w:rsidRPr="00FF31D4">
              <w:rPr>
                <w:rFonts w:ascii="Times New Roman" w:eastAsia="Times New Roman" w:hAnsi="Times New Roman" w:cs="Times New Roman"/>
                <w:sz w:val="14"/>
                <w:szCs w:val="14"/>
                <w:lang w:val="en-GB" w:eastAsia="es-ES"/>
              </w:rPr>
              <w:t>8.19</w:t>
            </w:r>
          </w:p>
        </w:tc>
        <w:tc>
          <w:tcPr>
            <w:tcW w:w="334" w:type="pct"/>
            <w:tcBorders>
              <w:right w:val="single" w:sz="4" w:space="0" w:color="auto"/>
            </w:tcBorders>
            <w:vAlign w:val="center"/>
          </w:tcPr>
          <w:p w14:paraId="0FDB8B1E" w14:textId="77777777" w:rsidR="00AC7436" w:rsidRPr="00FF31D4" w:rsidRDefault="00005B7F">
            <w:pPr>
              <w:spacing w:after="0" w:line="36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0.001</w:t>
            </w:r>
          </w:p>
        </w:tc>
        <w:tc>
          <w:tcPr>
            <w:tcW w:w="501" w:type="pct"/>
            <w:tcBorders>
              <w:left w:val="single" w:sz="4" w:space="0" w:color="auto"/>
            </w:tcBorders>
            <w:noWrap/>
            <w:vAlign w:val="center"/>
          </w:tcPr>
          <w:p w14:paraId="7474C993" w14:textId="77777777" w:rsidR="00AC7436" w:rsidRPr="00FF31D4" w:rsidRDefault="00005B7F">
            <w:pPr>
              <w:spacing w:after="0" w:line="36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52.29</w:t>
            </w:r>
            <w:r w:rsidRPr="00FF31D4">
              <w:rPr>
                <w:rFonts w:ascii="Times New Roman" w:hAnsi="Times New Roman" w:cs="Times New Roman"/>
                <w:sz w:val="14"/>
                <w:szCs w:val="14"/>
                <w:shd w:val="clear" w:color="auto" w:fill="FFFFFF"/>
                <w:lang w:val="en-GB"/>
              </w:rPr>
              <w:t>±</w:t>
            </w:r>
            <w:r w:rsidRPr="00FF31D4">
              <w:rPr>
                <w:rFonts w:ascii="Times New Roman" w:eastAsia="Times New Roman" w:hAnsi="Times New Roman" w:cs="Times New Roman"/>
                <w:sz w:val="14"/>
                <w:szCs w:val="14"/>
                <w:lang w:val="en-GB" w:eastAsia="es-ES"/>
              </w:rPr>
              <w:t>9.21</w:t>
            </w:r>
          </w:p>
        </w:tc>
        <w:tc>
          <w:tcPr>
            <w:tcW w:w="500" w:type="pct"/>
            <w:noWrap/>
            <w:vAlign w:val="center"/>
          </w:tcPr>
          <w:p w14:paraId="3F65F7C6" w14:textId="77777777" w:rsidR="00AC7436" w:rsidRPr="00FF31D4" w:rsidRDefault="00005B7F">
            <w:pPr>
              <w:spacing w:after="0" w:line="36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50.89</w:t>
            </w:r>
            <w:r w:rsidRPr="00FF31D4">
              <w:rPr>
                <w:rFonts w:ascii="Times New Roman" w:hAnsi="Times New Roman" w:cs="Times New Roman"/>
                <w:sz w:val="14"/>
                <w:szCs w:val="14"/>
                <w:shd w:val="clear" w:color="auto" w:fill="FFFFFF"/>
                <w:lang w:val="en-GB"/>
              </w:rPr>
              <w:t>±7</w:t>
            </w:r>
            <w:r w:rsidRPr="00FF31D4">
              <w:rPr>
                <w:rFonts w:ascii="Times New Roman" w:eastAsia="Times New Roman" w:hAnsi="Times New Roman" w:cs="Times New Roman"/>
                <w:sz w:val="14"/>
                <w:szCs w:val="14"/>
                <w:lang w:val="en-GB" w:eastAsia="es-ES"/>
              </w:rPr>
              <w:t>.72</w:t>
            </w:r>
          </w:p>
        </w:tc>
        <w:tc>
          <w:tcPr>
            <w:tcW w:w="334" w:type="pct"/>
            <w:tcBorders>
              <w:right w:val="single" w:sz="4" w:space="0" w:color="auto"/>
            </w:tcBorders>
            <w:vAlign w:val="center"/>
          </w:tcPr>
          <w:p w14:paraId="45DF4C02" w14:textId="77777777" w:rsidR="00AC7436" w:rsidRPr="00FF31D4" w:rsidRDefault="00005B7F">
            <w:pPr>
              <w:spacing w:after="0" w:line="36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0.395</w:t>
            </w:r>
          </w:p>
        </w:tc>
        <w:tc>
          <w:tcPr>
            <w:tcW w:w="500" w:type="pct"/>
            <w:tcBorders>
              <w:left w:val="single" w:sz="4" w:space="0" w:color="auto"/>
            </w:tcBorders>
            <w:noWrap/>
            <w:vAlign w:val="center"/>
          </w:tcPr>
          <w:p w14:paraId="2273C3D7" w14:textId="77777777" w:rsidR="00AC7436" w:rsidRPr="00FF31D4" w:rsidRDefault="00005B7F">
            <w:pPr>
              <w:spacing w:after="0" w:line="36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52.12</w:t>
            </w:r>
            <w:r w:rsidRPr="00FF31D4">
              <w:rPr>
                <w:rFonts w:ascii="Times New Roman" w:hAnsi="Times New Roman" w:cs="Times New Roman"/>
                <w:sz w:val="14"/>
                <w:szCs w:val="14"/>
                <w:shd w:val="clear" w:color="auto" w:fill="FFFFFF"/>
                <w:lang w:val="en-GB"/>
              </w:rPr>
              <w:t>±8</w:t>
            </w:r>
            <w:r w:rsidRPr="00FF31D4">
              <w:rPr>
                <w:rFonts w:ascii="Times New Roman" w:eastAsia="Times New Roman" w:hAnsi="Times New Roman" w:cs="Times New Roman"/>
                <w:sz w:val="14"/>
                <w:szCs w:val="14"/>
                <w:lang w:val="en-GB" w:eastAsia="es-ES"/>
              </w:rPr>
              <w:t>.96</w:t>
            </w:r>
          </w:p>
        </w:tc>
        <w:tc>
          <w:tcPr>
            <w:tcW w:w="500" w:type="pct"/>
            <w:vAlign w:val="center"/>
          </w:tcPr>
          <w:p w14:paraId="4E2CE426" w14:textId="77777777" w:rsidR="00AC7436" w:rsidRPr="00FF31D4" w:rsidRDefault="00005B7F">
            <w:pPr>
              <w:spacing w:after="0" w:line="36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49.14</w:t>
            </w:r>
            <w:r w:rsidRPr="00FF31D4">
              <w:rPr>
                <w:rFonts w:ascii="Times New Roman" w:hAnsi="Times New Roman" w:cs="Times New Roman"/>
                <w:sz w:val="14"/>
                <w:szCs w:val="14"/>
                <w:shd w:val="clear" w:color="auto" w:fill="FFFFFF"/>
                <w:lang w:val="en-GB"/>
              </w:rPr>
              <w:t>±8</w:t>
            </w:r>
            <w:r w:rsidRPr="00FF31D4">
              <w:rPr>
                <w:rFonts w:ascii="Times New Roman" w:eastAsia="Times New Roman" w:hAnsi="Times New Roman" w:cs="Times New Roman"/>
                <w:sz w:val="14"/>
                <w:szCs w:val="14"/>
                <w:lang w:val="en-GB" w:eastAsia="es-ES"/>
              </w:rPr>
              <w:t>.56</w:t>
            </w:r>
          </w:p>
        </w:tc>
        <w:tc>
          <w:tcPr>
            <w:tcW w:w="331" w:type="pct"/>
            <w:vAlign w:val="center"/>
          </w:tcPr>
          <w:p w14:paraId="2B3965DD" w14:textId="77777777" w:rsidR="00AC7436" w:rsidRPr="00FF31D4" w:rsidRDefault="00005B7F">
            <w:pPr>
              <w:spacing w:after="0" w:line="360" w:lineRule="auto"/>
              <w:jc w:val="center"/>
              <w:rPr>
                <w:rFonts w:ascii="Times New Roman" w:eastAsia="Times New Roman" w:hAnsi="Times New Roman" w:cs="Times New Roman"/>
                <w:sz w:val="14"/>
                <w:szCs w:val="14"/>
                <w:lang w:val="en-GB" w:eastAsia="es-ES"/>
              </w:rPr>
            </w:pPr>
            <w:r w:rsidRPr="00FF31D4">
              <w:rPr>
                <w:rFonts w:ascii="Times New Roman" w:hAnsi="Times New Roman" w:cs="Times New Roman"/>
                <w:sz w:val="14"/>
                <w:szCs w:val="14"/>
                <w:lang w:val="en-GB"/>
              </w:rPr>
              <w:t>&lt;0.001</w:t>
            </w:r>
          </w:p>
        </w:tc>
      </w:tr>
      <w:tr w:rsidR="00FF31D4" w:rsidRPr="00FF31D4" w14:paraId="414ECE91" w14:textId="77777777">
        <w:trPr>
          <w:trHeight w:val="340"/>
        </w:trPr>
        <w:tc>
          <w:tcPr>
            <w:tcW w:w="1002" w:type="pct"/>
            <w:noWrap/>
            <w:vAlign w:val="center"/>
          </w:tcPr>
          <w:p w14:paraId="776CCB59" w14:textId="77777777" w:rsidR="00AC7436" w:rsidRPr="00FF31D4" w:rsidRDefault="00005B7F">
            <w:pPr>
              <w:spacing w:after="0" w:line="360" w:lineRule="auto"/>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 xml:space="preserve">      Social and peer support</w:t>
            </w:r>
          </w:p>
        </w:tc>
        <w:tc>
          <w:tcPr>
            <w:tcW w:w="500" w:type="pct"/>
            <w:noWrap/>
            <w:vAlign w:val="center"/>
          </w:tcPr>
          <w:p w14:paraId="23C202A8" w14:textId="77777777" w:rsidR="00AC7436" w:rsidRPr="00FF31D4" w:rsidRDefault="00005B7F">
            <w:pPr>
              <w:spacing w:after="0" w:line="36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54.48</w:t>
            </w:r>
            <w:r w:rsidRPr="00FF31D4">
              <w:rPr>
                <w:rFonts w:ascii="Times New Roman" w:hAnsi="Times New Roman" w:cs="Times New Roman"/>
                <w:sz w:val="14"/>
                <w:szCs w:val="14"/>
                <w:shd w:val="clear" w:color="auto" w:fill="FFFFFF"/>
                <w:lang w:val="en-GB"/>
              </w:rPr>
              <w:t>±</w:t>
            </w:r>
            <w:r w:rsidRPr="00FF31D4">
              <w:rPr>
                <w:rFonts w:ascii="Times New Roman" w:eastAsia="Times New Roman" w:hAnsi="Times New Roman" w:cs="Times New Roman"/>
                <w:sz w:val="14"/>
                <w:szCs w:val="14"/>
                <w:lang w:val="en-GB" w:eastAsia="es-ES"/>
              </w:rPr>
              <w:t>8.89</w:t>
            </w:r>
          </w:p>
        </w:tc>
        <w:tc>
          <w:tcPr>
            <w:tcW w:w="499" w:type="pct"/>
            <w:noWrap/>
            <w:vAlign w:val="center"/>
          </w:tcPr>
          <w:p w14:paraId="64EC9B1B" w14:textId="77777777" w:rsidR="00AC7436" w:rsidRPr="00FF31D4" w:rsidRDefault="00005B7F">
            <w:pPr>
              <w:spacing w:after="0" w:line="36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52.63</w:t>
            </w:r>
            <w:r w:rsidRPr="00FF31D4">
              <w:rPr>
                <w:rFonts w:ascii="Times New Roman" w:hAnsi="Times New Roman" w:cs="Times New Roman"/>
                <w:sz w:val="14"/>
                <w:szCs w:val="14"/>
                <w:shd w:val="clear" w:color="auto" w:fill="FFFFFF"/>
                <w:lang w:val="en-GB"/>
              </w:rPr>
              <w:t>±</w:t>
            </w:r>
            <w:r w:rsidRPr="00FF31D4">
              <w:rPr>
                <w:rFonts w:ascii="Times New Roman" w:eastAsia="Times New Roman" w:hAnsi="Times New Roman" w:cs="Times New Roman"/>
                <w:sz w:val="14"/>
                <w:szCs w:val="14"/>
                <w:lang w:val="en-GB" w:eastAsia="es-ES"/>
              </w:rPr>
              <w:t>9.66</w:t>
            </w:r>
          </w:p>
        </w:tc>
        <w:tc>
          <w:tcPr>
            <w:tcW w:w="334" w:type="pct"/>
            <w:tcBorders>
              <w:right w:val="single" w:sz="4" w:space="0" w:color="auto"/>
            </w:tcBorders>
            <w:vAlign w:val="center"/>
          </w:tcPr>
          <w:p w14:paraId="64073DDD" w14:textId="77777777" w:rsidR="00AC7436" w:rsidRPr="00FF31D4" w:rsidRDefault="00005B7F">
            <w:pPr>
              <w:spacing w:after="0" w:line="360" w:lineRule="auto"/>
              <w:jc w:val="center"/>
              <w:rPr>
                <w:rFonts w:ascii="Times New Roman" w:eastAsia="Times New Roman" w:hAnsi="Times New Roman" w:cs="Times New Roman"/>
                <w:sz w:val="14"/>
                <w:szCs w:val="14"/>
                <w:lang w:val="en-GB" w:eastAsia="es-ES"/>
              </w:rPr>
            </w:pPr>
            <w:r w:rsidRPr="00FF31D4">
              <w:rPr>
                <w:rFonts w:ascii="Times New Roman" w:hAnsi="Times New Roman" w:cs="Times New Roman"/>
                <w:sz w:val="14"/>
                <w:szCs w:val="14"/>
                <w:lang w:val="en-GB"/>
              </w:rPr>
              <w:t>0.010</w:t>
            </w:r>
          </w:p>
        </w:tc>
        <w:tc>
          <w:tcPr>
            <w:tcW w:w="501" w:type="pct"/>
            <w:tcBorders>
              <w:left w:val="single" w:sz="4" w:space="0" w:color="auto"/>
            </w:tcBorders>
            <w:noWrap/>
            <w:vAlign w:val="center"/>
          </w:tcPr>
          <w:p w14:paraId="04DD2613" w14:textId="77777777" w:rsidR="00AC7436" w:rsidRPr="00FF31D4" w:rsidRDefault="00005B7F">
            <w:pPr>
              <w:spacing w:after="0" w:line="36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53.19</w:t>
            </w:r>
            <w:r w:rsidRPr="00FF31D4">
              <w:rPr>
                <w:rFonts w:ascii="Times New Roman" w:hAnsi="Times New Roman" w:cs="Times New Roman"/>
                <w:sz w:val="14"/>
                <w:szCs w:val="14"/>
                <w:shd w:val="clear" w:color="auto" w:fill="FFFFFF"/>
                <w:lang w:val="en-GB"/>
              </w:rPr>
              <w:t>±</w:t>
            </w:r>
            <w:r w:rsidRPr="00FF31D4">
              <w:rPr>
                <w:rFonts w:ascii="Times New Roman" w:eastAsia="Times New Roman" w:hAnsi="Times New Roman" w:cs="Times New Roman"/>
                <w:sz w:val="14"/>
                <w:szCs w:val="14"/>
                <w:lang w:val="en-GB" w:eastAsia="es-ES"/>
              </w:rPr>
              <w:t>8.78</w:t>
            </w:r>
          </w:p>
        </w:tc>
        <w:tc>
          <w:tcPr>
            <w:tcW w:w="500" w:type="pct"/>
            <w:noWrap/>
            <w:vAlign w:val="center"/>
          </w:tcPr>
          <w:p w14:paraId="330A51C3" w14:textId="77777777" w:rsidR="00AC7436" w:rsidRPr="00FF31D4" w:rsidRDefault="00005B7F">
            <w:pPr>
              <w:spacing w:after="0" w:line="36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52.76</w:t>
            </w:r>
            <w:r w:rsidRPr="00FF31D4">
              <w:rPr>
                <w:rFonts w:ascii="Times New Roman" w:hAnsi="Times New Roman" w:cs="Times New Roman"/>
                <w:sz w:val="14"/>
                <w:szCs w:val="14"/>
                <w:shd w:val="clear" w:color="auto" w:fill="FFFFFF"/>
                <w:lang w:val="en-GB"/>
              </w:rPr>
              <w:t>±9</w:t>
            </w:r>
            <w:r w:rsidRPr="00FF31D4">
              <w:rPr>
                <w:rFonts w:ascii="Times New Roman" w:eastAsia="Times New Roman" w:hAnsi="Times New Roman" w:cs="Times New Roman"/>
                <w:sz w:val="14"/>
                <w:szCs w:val="14"/>
                <w:lang w:val="en-GB" w:eastAsia="es-ES"/>
              </w:rPr>
              <w:t>.81</w:t>
            </w:r>
          </w:p>
        </w:tc>
        <w:tc>
          <w:tcPr>
            <w:tcW w:w="334" w:type="pct"/>
            <w:tcBorders>
              <w:right w:val="single" w:sz="4" w:space="0" w:color="auto"/>
            </w:tcBorders>
            <w:vAlign w:val="center"/>
          </w:tcPr>
          <w:p w14:paraId="2DEF7BC9" w14:textId="77777777" w:rsidR="00AC7436" w:rsidRPr="00FF31D4" w:rsidRDefault="00005B7F">
            <w:pPr>
              <w:spacing w:after="0" w:line="360" w:lineRule="auto"/>
              <w:jc w:val="center"/>
              <w:rPr>
                <w:rFonts w:ascii="Times New Roman" w:hAnsi="Times New Roman" w:cs="Times New Roman"/>
                <w:sz w:val="14"/>
                <w:szCs w:val="14"/>
                <w:lang w:val="en-GB"/>
              </w:rPr>
            </w:pPr>
            <w:r w:rsidRPr="00FF31D4">
              <w:rPr>
                <w:rFonts w:ascii="Times New Roman" w:hAnsi="Times New Roman" w:cs="Times New Roman"/>
                <w:sz w:val="14"/>
                <w:szCs w:val="14"/>
                <w:lang w:val="en-GB"/>
              </w:rPr>
              <w:t>0.808</w:t>
            </w:r>
          </w:p>
        </w:tc>
        <w:tc>
          <w:tcPr>
            <w:tcW w:w="500" w:type="pct"/>
            <w:tcBorders>
              <w:left w:val="single" w:sz="4" w:space="0" w:color="auto"/>
            </w:tcBorders>
            <w:noWrap/>
            <w:vAlign w:val="center"/>
          </w:tcPr>
          <w:p w14:paraId="576C8E9B" w14:textId="77777777" w:rsidR="00AC7436" w:rsidRPr="00FF31D4" w:rsidRDefault="00005B7F">
            <w:pPr>
              <w:spacing w:after="0" w:line="36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55.78</w:t>
            </w:r>
            <w:r w:rsidRPr="00FF31D4">
              <w:rPr>
                <w:rFonts w:ascii="Times New Roman" w:hAnsi="Times New Roman" w:cs="Times New Roman"/>
                <w:sz w:val="14"/>
                <w:szCs w:val="14"/>
                <w:shd w:val="clear" w:color="auto" w:fill="FFFFFF"/>
                <w:lang w:val="en-GB"/>
              </w:rPr>
              <w:t>±</w:t>
            </w:r>
            <w:r w:rsidRPr="00FF31D4">
              <w:rPr>
                <w:rFonts w:ascii="Times New Roman" w:eastAsia="Times New Roman" w:hAnsi="Times New Roman" w:cs="Times New Roman"/>
                <w:sz w:val="14"/>
                <w:szCs w:val="14"/>
                <w:lang w:val="en-GB" w:eastAsia="es-ES"/>
              </w:rPr>
              <w:t>8.82</w:t>
            </w:r>
          </w:p>
        </w:tc>
        <w:tc>
          <w:tcPr>
            <w:tcW w:w="500" w:type="pct"/>
            <w:vAlign w:val="center"/>
          </w:tcPr>
          <w:p w14:paraId="7AA7C02C" w14:textId="77777777" w:rsidR="00AC7436" w:rsidRPr="00FF31D4" w:rsidRDefault="00005B7F">
            <w:pPr>
              <w:spacing w:after="0" w:line="360" w:lineRule="auto"/>
              <w:jc w:val="center"/>
              <w:rPr>
                <w:rFonts w:ascii="Times New Roman" w:hAnsi="Times New Roman" w:cs="Times New Roman"/>
                <w:sz w:val="14"/>
                <w:szCs w:val="14"/>
                <w:lang w:val="en-GB"/>
              </w:rPr>
            </w:pPr>
            <w:r w:rsidRPr="00FF31D4">
              <w:rPr>
                <w:rFonts w:ascii="Times New Roman" w:eastAsia="Times New Roman" w:hAnsi="Times New Roman" w:cs="Times New Roman"/>
                <w:sz w:val="14"/>
                <w:szCs w:val="14"/>
                <w:lang w:val="en-GB" w:eastAsia="es-ES"/>
              </w:rPr>
              <w:t>52.51</w:t>
            </w:r>
            <w:r w:rsidRPr="00FF31D4">
              <w:rPr>
                <w:rFonts w:ascii="Times New Roman" w:hAnsi="Times New Roman" w:cs="Times New Roman"/>
                <w:sz w:val="14"/>
                <w:szCs w:val="14"/>
                <w:shd w:val="clear" w:color="auto" w:fill="FFFFFF"/>
                <w:lang w:val="en-GB"/>
              </w:rPr>
              <w:t>±9</w:t>
            </w:r>
            <w:r w:rsidRPr="00FF31D4">
              <w:rPr>
                <w:rFonts w:ascii="Times New Roman" w:eastAsia="Times New Roman" w:hAnsi="Times New Roman" w:cs="Times New Roman"/>
                <w:sz w:val="14"/>
                <w:szCs w:val="14"/>
                <w:lang w:val="en-GB" w:eastAsia="es-ES"/>
              </w:rPr>
              <w:t>.53</w:t>
            </w:r>
          </w:p>
        </w:tc>
        <w:tc>
          <w:tcPr>
            <w:tcW w:w="331" w:type="pct"/>
            <w:vAlign w:val="center"/>
          </w:tcPr>
          <w:p w14:paraId="10845F75" w14:textId="77777777" w:rsidR="00AC7436" w:rsidRPr="00FF31D4" w:rsidRDefault="00005B7F">
            <w:pPr>
              <w:spacing w:after="0" w:line="360" w:lineRule="auto"/>
              <w:jc w:val="center"/>
              <w:rPr>
                <w:rFonts w:ascii="Times New Roman" w:hAnsi="Times New Roman" w:cs="Times New Roman"/>
                <w:sz w:val="14"/>
                <w:szCs w:val="14"/>
                <w:lang w:val="en-GB"/>
              </w:rPr>
            </w:pPr>
            <w:r w:rsidRPr="00FF31D4">
              <w:rPr>
                <w:rFonts w:ascii="Times New Roman" w:hAnsi="Times New Roman" w:cs="Times New Roman"/>
                <w:sz w:val="14"/>
                <w:szCs w:val="14"/>
                <w:lang w:val="en-GB"/>
              </w:rPr>
              <w:t>0.001</w:t>
            </w:r>
          </w:p>
        </w:tc>
      </w:tr>
      <w:tr w:rsidR="00FF31D4" w:rsidRPr="00FF31D4" w14:paraId="17BA30C7" w14:textId="77777777">
        <w:trPr>
          <w:trHeight w:val="340"/>
        </w:trPr>
        <w:tc>
          <w:tcPr>
            <w:tcW w:w="1002" w:type="pct"/>
            <w:noWrap/>
            <w:vAlign w:val="center"/>
          </w:tcPr>
          <w:p w14:paraId="075759F6" w14:textId="77777777" w:rsidR="00AC7436" w:rsidRPr="00FF31D4" w:rsidRDefault="00005B7F">
            <w:pPr>
              <w:spacing w:after="0" w:line="360" w:lineRule="auto"/>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Self-esteem</w:t>
            </w:r>
          </w:p>
        </w:tc>
        <w:tc>
          <w:tcPr>
            <w:tcW w:w="500" w:type="pct"/>
            <w:noWrap/>
            <w:vAlign w:val="center"/>
          </w:tcPr>
          <w:p w14:paraId="3D22D835" w14:textId="77777777" w:rsidR="00AC7436" w:rsidRPr="00FF31D4" w:rsidRDefault="00005B7F">
            <w:pPr>
              <w:spacing w:after="0" w:line="36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33.22</w:t>
            </w:r>
            <w:r w:rsidRPr="00FF31D4">
              <w:rPr>
                <w:rFonts w:ascii="Times New Roman" w:hAnsi="Times New Roman" w:cs="Times New Roman"/>
                <w:sz w:val="14"/>
                <w:szCs w:val="14"/>
                <w:shd w:val="clear" w:color="auto" w:fill="FFFFFF"/>
                <w:lang w:val="en-GB"/>
              </w:rPr>
              <w:t>±</w:t>
            </w:r>
            <w:r w:rsidRPr="00FF31D4">
              <w:rPr>
                <w:rFonts w:ascii="Times New Roman" w:eastAsia="Times New Roman" w:hAnsi="Times New Roman" w:cs="Times New Roman"/>
                <w:sz w:val="14"/>
                <w:szCs w:val="14"/>
                <w:lang w:val="en-GB" w:eastAsia="es-ES"/>
              </w:rPr>
              <w:t>5.09</w:t>
            </w:r>
          </w:p>
        </w:tc>
        <w:tc>
          <w:tcPr>
            <w:tcW w:w="499" w:type="pct"/>
            <w:noWrap/>
            <w:vAlign w:val="center"/>
          </w:tcPr>
          <w:p w14:paraId="7CCD38AD" w14:textId="77777777" w:rsidR="00AC7436" w:rsidRPr="00FF31D4" w:rsidRDefault="00005B7F">
            <w:pPr>
              <w:spacing w:after="0" w:line="36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32.15</w:t>
            </w:r>
            <w:r w:rsidRPr="00FF31D4">
              <w:rPr>
                <w:rFonts w:ascii="Times New Roman" w:hAnsi="Times New Roman" w:cs="Times New Roman"/>
                <w:sz w:val="14"/>
                <w:szCs w:val="14"/>
                <w:shd w:val="clear" w:color="auto" w:fill="FFFFFF"/>
                <w:lang w:val="en-GB"/>
              </w:rPr>
              <w:t>±</w:t>
            </w:r>
            <w:r w:rsidRPr="00FF31D4">
              <w:rPr>
                <w:rFonts w:ascii="Times New Roman" w:eastAsia="Times New Roman" w:hAnsi="Times New Roman" w:cs="Times New Roman"/>
                <w:sz w:val="14"/>
                <w:szCs w:val="14"/>
                <w:lang w:val="en-GB" w:eastAsia="es-ES"/>
              </w:rPr>
              <w:t>4.72</w:t>
            </w:r>
          </w:p>
        </w:tc>
        <w:tc>
          <w:tcPr>
            <w:tcW w:w="334" w:type="pct"/>
            <w:tcBorders>
              <w:right w:val="single" w:sz="4" w:space="0" w:color="auto"/>
            </w:tcBorders>
            <w:vAlign w:val="center"/>
          </w:tcPr>
          <w:p w14:paraId="6804335D" w14:textId="77777777" w:rsidR="00AC7436" w:rsidRPr="00FF31D4" w:rsidRDefault="00005B7F">
            <w:pPr>
              <w:spacing w:after="0" w:line="360" w:lineRule="auto"/>
              <w:jc w:val="center"/>
              <w:rPr>
                <w:rFonts w:ascii="Times New Roman" w:eastAsia="Times New Roman" w:hAnsi="Times New Roman" w:cs="Times New Roman"/>
                <w:sz w:val="14"/>
                <w:szCs w:val="14"/>
                <w:lang w:val="en-GB" w:eastAsia="es-ES"/>
              </w:rPr>
            </w:pPr>
            <w:r w:rsidRPr="00FF31D4">
              <w:rPr>
                <w:rFonts w:ascii="Times New Roman" w:hAnsi="Times New Roman" w:cs="Times New Roman"/>
                <w:sz w:val="14"/>
                <w:szCs w:val="14"/>
                <w:lang w:val="en-GB"/>
              </w:rPr>
              <w:t>&lt;0.001</w:t>
            </w:r>
          </w:p>
        </w:tc>
        <w:tc>
          <w:tcPr>
            <w:tcW w:w="501" w:type="pct"/>
            <w:tcBorders>
              <w:left w:val="single" w:sz="4" w:space="0" w:color="auto"/>
              <w:bottom w:val="single" w:sz="4" w:space="0" w:color="auto"/>
            </w:tcBorders>
            <w:noWrap/>
            <w:vAlign w:val="center"/>
          </w:tcPr>
          <w:p w14:paraId="043373FF" w14:textId="77777777" w:rsidR="00AC7436" w:rsidRPr="00FF31D4" w:rsidRDefault="00005B7F">
            <w:pPr>
              <w:spacing w:after="0" w:line="36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32.76</w:t>
            </w:r>
            <w:r w:rsidRPr="00FF31D4">
              <w:rPr>
                <w:rFonts w:ascii="Times New Roman" w:hAnsi="Times New Roman" w:cs="Times New Roman"/>
                <w:sz w:val="14"/>
                <w:szCs w:val="14"/>
                <w:shd w:val="clear" w:color="auto" w:fill="FFFFFF"/>
                <w:lang w:val="en-GB"/>
              </w:rPr>
              <w:t>±</w:t>
            </w:r>
            <w:r w:rsidRPr="00FF31D4">
              <w:rPr>
                <w:rFonts w:ascii="Times New Roman" w:eastAsia="Times New Roman" w:hAnsi="Times New Roman" w:cs="Times New Roman"/>
                <w:sz w:val="14"/>
                <w:szCs w:val="14"/>
                <w:lang w:val="en-GB" w:eastAsia="es-ES"/>
              </w:rPr>
              <w:t>5.09</w:t>
            </w:r>
          </w:p>
        </w:tc>
        <w:tc>
          <w:tcPr>
            <w:tcW w:w="500" w:type="pct"/>
            <w:tcBorders>
              <w:bottom w:val="single" w:sz="4" w:space="0" w:color="auto"/>
            </w:tcBorders>
            <w:noWrap/>
            <w:vAlign w:val="center"/>
          </w:tcPr>
          <w:p w14:paraId="44F59EC1" w14:textId="77777777" w:rsidR="00AC7436" w:rsidRPr="00FF31D4" w:rsidRDefault="00005B7F">
            <w:pPr>
              <w:spacing w:after="0" w:line="36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32.76</w:t>
            </w:r>
            <w:r w:rsidRPr="00FF31D4">
              <w:rPr>
                <w:rFonts w:ascii="Times New Roman" w:hAnsi="Times New Roman" w:cs="Times New Roman"/>
                <w:sz w:val="14"/>
                <w:szCs w:val="14"/>
                <w:shd w:val="clear" w:color="auto" w:fill="FFFFFF"/>
                <w:lang w:val="en-GB"/>
              </w:rPr>
              <w:t>±4</w:t>
            </w:r>
            <w:r w:rsidRPr="00FF31D4">
              <w:rPr>
                <w:rFonts w:ascii="Times New Roman" w:eastAsia="Times New Roman" w:hAnsi="Times New Roman" w:cs="Times New Roman"/>
                <w:sz w:val="14"/>
                <w:szCs w:val="14"/>
                <w:lang w:val="en-GB" w:eastAsia="es-ES"/>
              </w:rPr>
              <w:t>.62</w:t>
            </w:r>
          </w:p>
        </w:tc>
        <w:tc>
          <w:tcPr>
            <w:tcW w:w="334" w:type="pct"/>
            <w:tcBorders>
              <w:bottom w:val="single" w:sz="4" w:space="0" w:color="auto"/>
              <w:right w:val="single" w:sz="4" w:space="0" w:color="auto"/>
            </w:tcBorders>
            <w:vAlign w:val="center"/>
          </w:tcPr>
          <w:p w14:paraId="1DD836E5" w14:textId="77777777" w:rsidR="00AC7436" w:rsidRPr="00FF31D4" w:rsidRDefault="00005B7F">
            <w:pPr>
              <w:spacing w:after="0" w:line="360" w:lineRule="auto"/>
              <w:jc w:val="center"/>
              <w:rPr>
                <w:rFonts w:ascii="Times New Roman" w:hAnsi="Times New Roman" w:cs="Times New Roman"/>
                <w:sz w:val="14"/>
                <w:szCs w:val="14"/>
                <w:lang w:val="en-GB"/>
              </w:rPr>
            </w:pPr>
            <w:r w:rsidRPr="00FF31D4">
              <w:rPr>
                <w:rFonts w:ascii="Times New Roman" w:hAnsi="Times New Roman" w:cs="Times New Roman"/>
                <w:sz w:val="14"/>
                <w:szCs w:val="14"/>
                <w:lang w:val="en-GB"/>
              </w:rPr>
              <w:t>0.625</w:t>
            </w:r>
          </w:p>
        </w:tc>
        <w:tc>
          <w:tcPr>
            <w:tcW w:w="500" w:type="pct"/>
            <w:tcBorders>
              <w:left w:val="single" w:sz="4" w:space="0" w:color="auto"/>
            </w:tcBorders>
            <w:noWrap/>
            <w:vAlign w:val="center"/>
          </w:tcPr>
          <w:p w14:paraId="0ABEAE6F" w14:textId="77777777" w:rsidR="00AC7436" w:rsidRPr="00FF31D4" w:rsidRDefault="00005B7F">
            <w:pPr>
              <w:spacing w:after="0" w:line="360" w:lineRule="auto"/>
              <w:jc w:val="center"/>
              <w:rPr>
                <w:rFonts w:ascii="Times New Roman" w:eastAsia="Times New Roman" w:hAnsi="Times New Roman" w:cs="Times New Roman"/>
                <w:sz w:val="14"/>
                <w:szCs w:val="14"/>
                <w:lang w:val="en-GB" w:eastAsia="es-ES"/>
              </w:rPr>
            </w:pPr>
            <w:r w:rsidRPr="00FF31D4">
              <w:rPr>
                <w:rFonts w:ascii="Times New Roman" w:eastAsia="Times New Roman" w:hAnsi="Times New Roman" w:cs="Times New Roman"/>
                <w:sz w:val="14"/>
                <w:szCs w:val="14"/>
                <w:lang w:val="en-GB" w:eastAsia="es-ES"/>
              </w:rPr>
              <w:t>33.69</w:t>
            </w:r>
            <w:r w:rsidRPr="00FF31D4">
              <w:rPr>
                <w:rFonts w:ascii="Times New Roman" w:hAnsi="Times New Roman" w:cs="Times New Roman"/>
                <w:sz w:val="14"/>
                <w:szCs w:val="14"/>
                <w:shd w:val="clear" w:color="auto" w:fill="FFFFFF"/>
                <w:lang w:val="en-GB"/>
              </w:rPr>
              <w:t>±</w:t>
            </w:r>
            <w:r w:rsidRPr="00FF31D4">
              <w:rPr>
                <w:rFonts w:ascii="Times New Roman" w:eastAsia="Times New Roman" w:hAnsi="Times New Roman" w:cs="Times New Roman"/>
                <w:sz w:val="14"/>
                <w:szCs w:val="14"/>
                <w:lang w:val="en-GB" w:eastAsia="es-ES"/>
              </w:rPr>
              <w:t>5.05</w:t>
            </w:r>
          </w:p>
        </w:tc>
        <w:tc>
          <w:tcPr>
            <w:tcW w:w="500" w:type="pct"/>
            <w:vAlign w:val="center"/>
          </w:tcPr>
          <w:p w14:paraId="5036977D" w14:textId="77777777" w:rsidR="00AC7436" w:rsidRPr="00FF31D4" w:rsidRDefault="00005B7F">
            <w:pPr>
              <w:spacing w:after="0" w:line="360" w:lineRule="auto"/>
              <w:jc w:val="center"/>
              <w:rPr>
                <w:rFonts w:ascii="Times New Roman" w:hAnsi="Times New Roman" w:cs="Times New Roman"/>
                <w:sz w:val="14"/>
                <w:szCs w:val="14"/>
                <w:lang w:val="en-GB"/>
              </w:rPr>
            </w:pPr>
            <w:r w:rsidRPr="00FF31D4">
              <w:rPr>
                <w:rFonts w:ascii="Times New Roman" w:eastAsia="Times New Roman" w:hAnsi="Times New Roman" w:cs="Times New Roman"/>
                <w:sz w:val="14"/>
                <w:szCs w:val="14"/>
                <w:lang w:val="en-GB" w:eastAsia="es-ES"/>
              </w:rPr>
              <w:t>31.53</w:t>
            </w:r>
            <w:r w:rsidRPr="00FF31D4">
              <w:rPr>
                <w:rFonts w:ascii="Times New Roman" w:hAnsi="Times New Roman" w:cs="Times New Roman"/>
                <w:sz w:val="14"/>
                <w:szCs w:val="14"/>
                <w:shd w:val="clear" w:color="auto" w:fill="FFFFFF"/>
                <w:lang w:val="en-GB"/>
              </w:rPr>
              <w:t>±4</w:t>
            </w:r>
            <w:r w:rsidRPr="00FF31D4">
              <w:rPr>
                <w:rFonts w:ascii="Times New Roman" w:eastAsia="Times New Roman" w:hAnsi="Times New Roman" w:cs="Times New Roman"/>
                <w:sz w:val="14"/>
                <w:szCs w:val="14"/>
                <w:lang w:val="en-GB" w:eastAsia="es-ES"/>
              </w:rPr>
              <w:t>.76</w:t>
            </w:r>
          </w:p>
        </w:tc>
        <w:tc>
          <w:tcPr>
            <w:tcW w:w="331" w:type="pct"/>
            <w:vAlign w:val="center"/>
          </w:tcPr>
          <w:p w14:paraId="595E74F8" w14:textId="77777777" w:rsidR="00AC7436" w:rsidRPr="00FF31D4" w:rsidRDefault="00005B7F">
            <w:pPr>
              <w:spacing w:after="0" w:line="360" w:lineRule="auto"/>
              <w:jc w:val="center"/>
              <w:rPr>
                <w:rFonts w:ascii="Times New Roman" w:hAnsi="Times New Roman" w:cs="Times New Roman"/>
                <w:sz w:val="14"/>
                <w:szCs w:val="14"/>
                <w:lang w:val="en-GB"/>
              </w:rPr>
            </w:pPr>
            <w:r w:rsidRPr="00FF31D4">
              <w:rPr>
                <w:rFonts w:ascii="Times New Roman" w:hAnsi="Times New Roman" w:cs="Times New Roman"/>
                <w:sz w:val="14"/>
                <w:szCs w:val="14"/>
                <w:lang w:val="en-GB"/>
              </w:rPr>
              <w:t>&lt;0.001</w:t>
            </w:r>
          </w:p>
        </w:tc>
      </w:tr>
    </w:tbl>
    <w:p w14:paraId="5CEDFE3C" w14:textId="6A43A509" w:rsidR="00AC7436" w:rsidRPr="00FF31D4" w:rsidRDefault="00005B7F">
      <w:pPr>
        <w:shd w:val="clear" w:color="auto" w:fill="FFFFFF"/>
        <w:spacing w:before="240" w:after="0" w:line="360" w:lineRule="auto"/>
        <w:jc w:val="both"/>
        <w:rPr>
          <w:rFonts w:ascii="Times New Roman" w:eastAsia="Times New Roman" w:hAnsi="Times New Roman" w:cs="Times New Roman"/>
          <w:sz w:val="20"/>
          <w:szCs w:val="20"/>
          <w:lang w:val="en-GB" w:eastAsia="es-ES"/>
        </w:rPr>
      </w:pPr>
      <w:r w:rsidRPr="00FF31D4">
        <w:rPr>
          <w:rFonts w:ascii="Times New Roman" w:eastAsia="Times New Roman" w:hAnsi="Times New Roman" w:cs="Times New Roman"/>
          <w:sz w:val="20"/>
          <w:szCs w:val="20"/>
          <w:lang w:val="en-GB" w:eastAsia="es-ES"/>
        </w:rPr>
        <w:t>Finally, correlations relating age with lifestyle habits and health indicators are presented in Table 5. Older age was found to be negatively related with all examined lifestyle habits (PA, hours of nightly sleep and MD) and health indicators (VO</w:t>
      </w:r>
      <w:r w:rsidRPr="00FF31D4">
        <w:rPr>
          <w:rFonts w:ascii="Times New Roman" w:eastAsia="Times New Roman" w:hAnsi="Times New Roman" w:cs="Times New Roman"/>
          <w:sz w:val="20"/>
          <w:szCs w:val="20"/>
          <w:vertAlign w:val="subscript"/>
          <w:lang w:val="en-GB" w:eastAsia="es-ES"/>
        </w:rPr>
        <w:t>2</w:t>
      </w:r>
      <w:r w:rsidRPr="00FF31D4">
        <w:rPr>
          <w:rFonts w:ascii="Times New Roman" w:eastAsia="Times New Roman" w:hAnsi="Times New Roman" w:cs="Times New Roman"/>
          <w:sz w:val="20"/>
          <w:szCs w:val="20"/>
          <w:lang w:val="en-GB" w:eastAsia="es-ES"/>
        </w:rPr>
        <w:t>max,</w:t>
      </w:r>
      <w:r w:rsidRPr="00FF31D4">
        <w:rPr>
          <w:lang w:val="en-GB"/>
        </w:rPr>
        <w:t xml:space="preserve"> </w:t>
      </w:r>
      <w:r w:rsidRPr="00FF31D4">
        <w:rPr>
          <w:rFonts w:ascii="Times New Roman" w:eastAsia="Times New Roman" w:hAnsi="Times New Roman" w:cs="Times New Roman"/>
          <w:sz w:val="20"/>
          <w:szCs w:val="20"/>
          <w:lang w:val="en-GB" w:eastAsia="es-ES"/>
        </w:rPr>
        <w:t xml:space="preserve">self-esteem and HRQoL). The only exception was found for BMI, in which a positive association emerged. Findings were similar regardless of </w:t>
      </w:r>
      <w:r w:rsidR="0044079C" w:rsidRPr="00FF31D4">
        <w:rPr>
          <w:rFonts w:ascii="Times New Roman" w:eastAsia="Times New Roman" w:hAnsi="Times New Roman" w:cs="Times New Roman"/>
          <w:sz w:val="20"/>
          <w:szCs w:val="20"/>
          <w:lang w:val="en-US" w:eastAsia="es-ES"/>
        </w:rPr>
        <w:t>sex</w:t>
      </w:r>
      <w:r w:rsidRPr="00FF31D4">
        <w:rPr>
          <w:rFonts w:ascii="Times New Roman" w:eastAsia="Times New Roman" w:hAnsi="Times New Roman" w:cs="Times New Roman"/>
          <w:sz w:val="20"/>
          <w:szCs w:val="20"/>
          <w:lang w:val="en-GB" w:eastAsia="es-ES"/>
        </w:rPr>
        <w:t xml:space="preserve">, with the exception that VO2max outcomes were not significant in boys. </w:t>
      </w:r>
    </w:p>
    <w:p w14:paraId="313F29A0" w14:textId="77777777" w:rsidR="00AC7436" w:rsidRPr="00FF31D4" w:rsidRDefault="00005B7F">
      <w:pPr>
        <w:shd w:val="clear" w:color="auto" w:fill="FFFFFF"/>
        <w:spacing w:before="240" w:after="0" w:line="360" w:lineRule="auto"/>
        <w:jc w:val="both"/>
        <w:rPr>
          <w:rFonts w:ascii="Calibri" w:eastAsia="Times New Roman" w:hAnsi="Calibri" w:cs="Calibri"/>
          <w:lang w:val="en-GB" w:eastAsia="es-ES"/>
        </w:rPr>
      </w:pPr>
      <w:r w:rsidRPr="00FF31D4">
        <w:rPr>
          <w:rFonts w:ascii="Times New Roman" w:eastAsia="Times New Roman" w:hAnsi="Times New Roman" w:cs="Times New Roman"/>
          <w:sz w:val="20"/>
          <w:szCs w:val="20"/>
          <w:lang w:val="en-GB" w:eastAsia="es-ES"/>
        </w:rPr>
        <w:t>Table 5. Correlation coefficients associating age with health indicators and life habits</w:t>
      </w:r>
    </w:p>
    <w:tbl>
      <w:tblPr>
        <w:tblStyle w:val="Tablaconcuadrcula"/>
        <w:tblW w:w="5000" w:type="pct"/>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053"/>
        <w:gridCol w:w="1063"/>
        <w:gridCol w:w="1065"/>
        <w:gridCol w:w="1065"/>
        <w:gridCol w:w="1065"/>
        <w:gridCol w:w="1065"/>
        <w:gridCol w:w="1065"/>
        <w:gridCol w:w="1063"/>
      </w:tblGrid>
      <w:tr w:rsidR="00FF31D4" w:rsidRPr="00FF31D4" w14:paraId="68296154" w14:textId="77777777">
        <w:trPr>
          <w:trHeight w:val="528"/>
        </w:trPr>
        <w:tc>
          <w:tcPr>
            <w:tcW w:w="620" w:type="pct"/>
            <w:tcBorders>
              <w:top w:val="single" w:sz="4" w:space="0" w:color="auto"/>
              <w:bottom w:val="single" w:sz="4" w:space="0" w:color="auto"/>
            </w:tcBorders>
            <w:noWrap/>
            <w:vAlign w:val="center"/>
          </w:tcPr>
          <w:p w14:paraId="5F2CB331" w14:textId="77777777" w:rsidR="00AC7436" w:rsidRPr="00FF31D4" w:rsidRDefault="00AC7436">
            <w:pPr>
              <w:spacing w:after="0" w:line="240" w:lineRule="auto"/>
              <w:jc w:val="center"/>
              <w:rPr>
                <w:rFonts w:ascii="Times New Roman" w:hAnsi="Times New Roman" w:cs="Times New Roman"/>
                <w:bCs/>
                <w:sz w:val="14"/>
                <w:szCs w:val="14"/>
                <w:lang w:val="en-GB"/>
              </w:rPr>
            </w:pPr>
          </w:p>
        </w:tc>
        <w:tc>
          <w:tcPr>
            <w:tcW w:w="625" w:type="pct"/>
            <w:tcBorders>
              <w:top w:val="single" w:sz="4" w:space="0" w:color="auto"/>
              <w:bottom w:val="single" w:sz="4" w:space="0" w:color="auto"/>
            </w:tcBorders>
            <w:noWrap/>
            <w:vAlign w:val="center"/>
          </w:tcPr>
          <w:p w14:paraId="50E3575C" w14:textId="77777777" w:rsidR="00AC7436" w:rsidRPr="00FF31D4" w:rsidRDefault="00005B7F">
            <w:pPr>
              <w:spacing w:after="0" w:line="240" w:lineRule="auto"/>
              <w:jc w:val="center"/>
              <w:rPr>
                <w:rFonts w:ascii="Times New Roman" w:hAnsi="Times New Roman" w:cs="Times New Roman"/>
                <w:bCs/>
                <w:sz w:val="14"/>
                <w:szCs w:val="14"/>
                <w:lang w:val="en-GB"/>
              </w:rPr>
            </w:pPr>
            <w:r w:rsidRPr="00FF31D4">
              <w:rPr>
                <w:rFonts w:ascii="Times New Roman" w:eastAsia="Times New Roman" w:hAnsi="Times New Roman" w:cs="Times New Roman"/>
                <w:sz w:val="14"/>
                <w:szCs w:val="14"/>
                <w:lang w:val="en-GB" w:eastAsia="es-ES"/>
              </w:rPr>
              <w:t>PA</w:t>
            </w:r>
          </w:p>
        </w:tc>
        <w:tc>
          <w:tcPr>
            <w:tcW w:w="626" w:type="pct"/>
            <w:tcBorders>
              <w:top w:val="single" w:sz="4" w:space="0" w:color="auto"/>
              <w:bottom w:val="single" w:sz="4" w:space="0" w:color="auto"/>
            </w:tcBorders>
            <w:noWrap/>
            <w:vAlign w:val="center"/>
          </w:tcPr>
          <w:p w14:paraId="3C9B483A" w14:textId="77777777" w:rsidR="00AC7436" w:rsidRPr="00FF31D4" w:rsidRDefault="00005B7F">
            <w:pPr>
              <w:spacing w:after="0" w:line="240" w:lineRule="auto"/>
              <w:jc w:val="center"/>
              <w:rPr>
                <w:rFonts w:ascii="Times New Roman" w:hAnsi="Times New Roman" w:cs="Times New Roman"/>
                <w:bCs/>
                <w:sz w:val="14"/>
                <w:szCs w:val="14"/>
                <w:lang w:val="en-GB"/>
              </w:rPr>
            </w:pPr>
            <w:r w:rsidRPr="00FF31D4">
              <w:rPr>
                <w:rFonts w:ascii="Times New Roman" w:eastAsia="Times New Roman" w:hAnsi="Times New Roman" w:cs="Times New Roman"/>
                <w:sz w:val="14"/>
                <w:szCs w:val="14"/>
                <w:lang w:val="en-GB" w:eastAsia="es-ES"/>
              </w:rPr>
              <w:t>Hours of nightly sleep</w:t>
            </w:r>
          </w:p>
        </w:tc>
        <w:tc>
          <w:tcPr>
            <w:tcW w:w="626" w:type="pct"/>
            <w:tcBorders>
              <w:top w:val="single" w:sz="4" w:space="0" w:color="auto"/>
              <w:bottom w:val="single" w:sz="4" w:space="0" w:color="auto"/>
            </w:tcBorders>
            <w:noWrap/>
            <w:vAlign w:val="center"/>
          </w:tcPr>
          <w:p w14:paraId="2C2EB0D0" w14:textId="77777777" w:rsidR="00AC7436" w:rsidRPr="00FF31D4" w:rsidRDefault="00005B7F">
            <w:pPr>
              <w:spacing w:after="0" w:line="240" w:lineRule="auto"/>
              <w:jc w:val="center"/>
              <w:rPr>
                <w:rFonts w:ascii="Times New Roman" w:hAnsi="Times New Roman" w:cs="Times New Roman"/>
                <w:bCs/>
                <w:sz w:val="14"/>
                <w:szCs w:val="14"/>
                <w:lang w:val="en-GB"/>
              </w:rPr>
            </w:pPr>
            <w:r w:rsidRPr="00FF31D4">
              <w:rPr>
                <w:rFonts w:ascii="Times New Roman" w:eastAsia="Times New Roman" w:hAnsi="Times New Roman" w:cs="Times New Roman"/>
                <w:sz w:val="14"/>
                <w:szCs w:val="14"/>
                <w:lang w:val="en-GB" w:eastAsia="es-ES"/>
              </w:rPr>
              <w:t>MD</w:t>
            </w:r>
          </w:p>
        </w:tc>
        <w:tc>
          <w:tcPr>
            <w:tcW w:w="626" w:type="pct"/>
            <w:tcBorders>
              <w:top w:val="single" w:sz="4" w:space="0" w:color="auto"/>
              <w:bottom w:val="single" w:sz="4" w:space="0" w:color="auto"/>
            </w:tcBorders>
            <w:noWrap/>
            <w:vAlign w:val="center"/>
          </w:tcPr>
          <w:p w14:paraId="1641E9F1" w14:textId="77777777" w:rsidR="00AC7436" w:rsidRPr="00FF31D4" w:rsidRDefault="00005B7F">
            <w:pPr>
              <w:spacing w:after="0" w:line="240" w:lineRule="auto"/>
              <w:jc w:val="center"/>
              <w:rPr>
                <w:rFonts w:ascii="Times New Roman" w:hAnsi="Times New Roman" w:cs="Times New Roman"/>
                <w:bCs/>
                <w:sz w:val="14"/>
                <w:szCs w:val="14"/>
                <w:lang w:val="en-GB"/>
              </w:rPr>
            </w:pPr>
            <w:r w:rsidRPr="00FF31D4">
              <w:rPr>
                <w:rFonts w:ascii="Times New Roman" w:eastAsia="Times New Roman" w:hAnsi="Times New Roman" w:cs="Times New Roman"/>
                <w:sz w:val="14"/>
                <w:szCs w:val="14"/>
                <w:lang w:val="en-GB" w:eastAsia="es-ES"/>
              </w:rPr>
              <w:t>BMI</w:t>
            </w:r>
          </w:p>
        </w:tc>
        <w:tc>
          <w:tcPr>
            <w:tcW w:w="626" w:type="pct"/>
            <w:tcBorders>
              <w:top w:val="single" w:sz="4" w:space="0" w:color="auto"/>
              <w:bottom w:val="single" w:sz="4" w:space="0" w:color="auto"/>
            </w:tcBorders>
            <w:noWrap/>
            <w:vAlign w:val="center"/>
          </w:tcPr>
          <w:p w14:paraId="79B875E0" w14:textId="77777777" w:rsidR="00AC7436" w:rsidRPr="00FF31D4" w:rsidRDefault="00005B7F">
            <w:pPr>
              <w:spacing w:after="0" w:line="240" w:lineRule="auto"/>
              <w:jc w:val="center"/>
              <w:rPr>
                <w:rFonts w:ascii="Times New Roman" w:hAnsi="Times New Roman" w:cs="Times New Roman"/>
                <w:bCs/>
                <w:sz w:val="14"/>
                <w:szCs w:val="14"/>
                <w:lang w:val="en-GB"/>
              </w:rPr>
            </w:pPr>
            <w:r w:rsidRPr="00FF31D4">
              <w:rPr>
                <w:rFonts w:ascii="Times New Roman" w:eastAsia="Times New Roman" w:hAnsi="Times New Roman" w:cs="Times New Roman"/>
                <w:sz w:val="14"/>
                <w:szCs w:val="14"/>
                <w:lang w:val="en-GB" w:eastAsia="es-ES"/>
              </w:rPr>
              <w:t>VO</w:t>
            </w:r>
            <w:r w:rsidRPr="00FF31D4">
              <w:rPr>
                <w:rFonts w:ascii="Times New Roman" w:eastAsia="Times New Roman" w:hAnsi="Times New Roman" w:cs="Times New Roman"/>
                <w:sz w:val="14"/>
                <w:szCs w:val="14"/>
                <w:vertAlign w:val="subscript"/>
                <w:lang w:val="en-GB" w:eastAsia="es-ES"/>
              </w:rPr>
              <w:t>2</w:t>
            </w:r>
            <w:r w:rsidRPr="00FF31D4">
              <w:rPr>
                <w:rFonts w:ascii="Times New Roman" w:eastAsia="Times New Roman" w:hAnsi="Times New Roman" w:cs="Times New Roman"/>
                <w:sz w:val="14"/>
                <w:szCs w:val="14"/>
                <w:lang w:val="en-GB" w:eastAsia="es-ES"/>
              </w:rPr>
              <w:t>max</w:t>
            </w:r>
          </w:p>
        </w:tc>
        <w:tc>
          <w:tcPr>
            <w:tcW w:w="626" w:type="pct"/>
            <w:tcBorders>
              <w:top w:val="single" w:sz="4" w:space="0" w:color="auto"/>
              <w:bottom w:val="single" w:sz="4" w:space="0" w:color="auto"/>
            </w:tcBorders>
            <w:noWrap/>
            <w:vAlign w:val="center"/>
          </w:tcPr>
          <w:p w14:paraId="348EFC79" w14:textId="77777777" w:rsidR="00AC7436" w:rsidRPr="00FF31D4" w:rsidRDefault="00005B7F">
            <w:pPr>
              <w:spacing w:after="0" w:line="240" w:lineRule="auto"/>
              <w:jc w:val="center"/>
              <w:rPr>
                <w:rFonts w:ascii="Times New Roman" w:hAnsi="Times New Roman" w:cs="Times New Roman"/>
                <w:bCs/>
                <w:sz w:val="14"/>
                <w:szCs w:val="14"/>
                <w:lang w:val="en-GB"/>
              </w:rPr>
            </w:pPr>
            <w:r w:rsidRPr="00FF31D4">
              <w:rPr>
                <w:rFonts w:ascii="Times New Roman" w:eastAsia="Times New Roman" w:hAnsi="Times New Roman" w:cs="Times New Roman"/>
                <w:sz w:val="14"/>
                <w:szCs w:val="14"/>
                <w:lang w:val="en-GB" w:eastAsia="es-ES"/>
              </w:rPr>
              <w:t>Self-esteem</w:t>
            </w:r>
          </w:p>
        </w:tc>
        <w:tc>
          <w:tcPr>
            <w:tcW w:w="626" w:type="pct"/>
            <w:tcBorders>
              <w:top w:val="single" w:sz="4" w:space="0" w:color="auto"/>
              <w:bottom w:val="single" w:sz="4" w:space="0" w:color="auto"/>
            </w:tcBorders>
            <w:noWrap/>
            <w:vAlign w:val="center"/>
          </w:tcPr>
          <w:p w14:paraId="6C788F96" w14:textId="77777777" w:rsidR="00AC7436" w:rsidRPr="00FF31D4" w:rsidRDefault="00005B7F">
            <w:pPr>
              <w:spacing w:after="0" w:line="240" w:lineRule="auto"/>
              <w:jc w:val="center"/>
              <w:rPr>
                <w:rFonts w:ascii="Times New Roman" w:hAnsi="Times New Roman" w:cs="Times New Roman"/>
                <w:bCs/>
                <w:sz w:val="14"/>
                <w:szCs w:val="14"/>
                <w:lang w:val="en-GB"/>
              </w:rPr>
            </w:pPr>
            <w:r w:rsidRPr="00FF31D4">
              <w:rPr>
                <w:rFonts w:ascii="Times New Roman" w:hAnsi="Times New Roman" w:cs="Times New Roman"/>
                <w:sz w:val="14"/>
                <w:szCs w:val="14"/>
                <w:lang w:val="en-GB"/>
              </w:rPr>
              <w:t>HRQoL</w:t>
            </w:r>
          </w:p>
        </w:tc>
      </w:tr>
      <w:tr w:rsidR="00FF31D4" w:rsidRPr="00FF31D4" w14:paraId="1E15E427" w14:textId="77777777">
        <w:trPr>
          <w:trHeight w:val="300"/>
        </w:trPr>
        <w:tc>
          <w:tcPr>
            <w:tcW w:w="620" w:type="pct"/>
            <w:tcBorders>
              <w:top w:val="single" w:sz="4" w:space="0" w:color="auto"/>
            </w:tcBorders>
            <w:noWrap/>
            <w:vAlign w:val="center"/>
          </w:tcPr>
          <w:p w14:paraId="1687CCD4" w14:textId="77777777" w:rsidR="00AC7436" w:rsidRPr="00FF31D4" w:rsidRDefault="00005B7F">
            <w:pPr>
              <w:spacing w:after="0" w:line="240" w:lineRule="auto"/>
              <w:jc w:val="center"/>
              <w:rPr>
                <w:rFonts w:ascii="Times New Roman" w:hAnsi="Times New Roman" w:cs="Times New Roman"/>
                <w:bCs/>
                <w:sz w:val="14"/>
                <w:szCs w:val="14"/>
                <w:lang w:val="en-GB"/>
              </w:rPr>
            </w:pPr>
            <w:r w:rsidRPr="00FF31D4">
              <w:rPr>
                <w:rFonts w:ascii="Times New Roman" w:hAnsi="Times New Roman" w:cs="Times New Roman"/>
                <w:bCs/>
                <w:sz w:val="14"/>
                <w:szCs w:val="14"/>
                <w:lang w:val="en-GB"/>
              </w:rPr>
              <w:t>All (age)</w:t>
            </w:r>
          </w:p>
        </w:tc>
        <w:tc>
          <w:tcPr>
            <w:tcW w:w="625" w:type="pct"/>
            <w:tcBorders>
              <w:top w:val="single" w:sz="4" w:space="0" w:color="auto"/>
            </w:tcBorders>
            <w:noWrap/>
            <w:vAlign w:val="center"/>
          </w:tcPr>
          <w:p w14:paraId="72C99769" w14:textId="77777777" w:rsidR="00AC7436" w:rsidRPr="00FF31D4" w:rsidRDefault="00005B7F">
            <w:pPr>
              <w:spacing w:after="0" w:line="240" w:lineRule="auto"/>
              <w:jc w:val="center"/>
              <w:rPr>
                <w:rFonts w:ascii="Times New Roman" w:hAnsi="Times New Roman" w:cs="Times New Roman"/>
                <w:bCs/>
                <w:sz w:val="14"/>
                <w:szCs w:val="14"/>
                <w:lang w:val="en-GB"/>
              </w:rPr>
            </w:pPr>
            <w:r w:rsidRPr="00FF31D4">
              <w:rPr>
                <w:rFonts w:ascii="Times New Roman" w:hAnsi="Times New Roman" w:cs="Times New Roman"/>
                <w:bCs/>
                <w:sz w:val="14"/>
                <w:szCs w:val="14"/>
                <w:lang w:val="en-GB"/>
              </w:rPr>
              <w:t>-.179</w:t>
            </w:r>
            <w:r w:rsidRPr="00FF31D4">
              <w:rPr>
                <w:rFonts w:ascii="Times New Roman" w:hAnsi="Times New Roman" w:cs="Times New Roman"/>
                <w:bCs/>
                <w:sz w:val="14"/>
                <w:szCs w:val="14"/>
                <w:vertAlign w:val="superscript"/>
                <w:lang w:val="en-GB"/>
              </w:rPr>
              <w:t>**</w:t>
            </w:r>
          </w:p>
        </w:tc>
        <w:tc>
          <w:tcPr>
            <w:tcW w:w="626" w:type="pct"/>
            <w:tcBorders>
              <w:top w:val="single" w:sz="4" w:space="0" w:color="auto"/>
            </w:tcBorders>
            <w:noWrap/>
            <w:vAlign w:val="center"/>
          </w:tcPr>
          <w:p w14:paraId="3AC29267" w14:textId="77777777" w:rsidR="00AC7436" w:rsidRPr="00FF31D4" w:rsidRDefault="00005B7F">
            <w:pPr>
              <w:spacing w:after="0" w:line="240" w:lineRule="auto"/>
              <w:jc w:val="center"/>
              <w:rPr>
                <w:rFonts w:ascii="Times New Roman" w:hAnsi="Times New Roman" w:cs="Times New Roman"/>
                <w:bCs/>
                <w:sz w:val="14"/>
                <w:szCs w:val="14"/>
                <w:lang w:val="en-GB"/>
              </w:rPr>
            </w:pPr>
            <w:r w:rsidRPr="00FF31D4">
              <w:rPr>
                <w:rFonts w:ascii="Times New Roman" w:hAnsi="Times New Roman" w:cs="Times New Roman"/>
                <w:bCs/>
                <w:sz w:val="14"/>
                <w:szCs w:val="14"/>
                <w:lang w:val="en-GB"/>
              </w:rPr>
              <w:t>-.461</w:t>
            </w:r>
            <w:r w:rsidRPr="00FF31D4">
              <w:rPr>
                <w:rFonts w:ascii="Times New Roman" w:hAnsi="Times New Roman" w:cs="Times New Roman"/>
                <w:bCs/>
                <w:sz w:val="14"/>
                <w:szCs w:val="14"/>
                <w:vertAlign w:val="superscript"/>
                <w:lang w:val="en-GB"/>
              </w:rPr>
              <w:t>**</w:t>
            </w:r>
          </w:p>
        </w:tc>
        <w:tc>
          <w:tcPr>
            <w:tcW w:w="626" w:type="pct"/>
            <w:tcBorders>
              <w:top w:val="single" w:sz="4" w:space="0" w:color="auto"/>
            </w:tcBorders>
            <w:noWrap/>
            <w:vAlign w:val="center"/>
          </w:tcPr>
          <w:p w14:paraId="55774B9D" w14:textId="77777777" w:rsidR="00AC7436" w:rsidRPr="00FF31D4" w:rsidRDefault="00005B7F">
            <w:pPr>
              <w:spacing w:after="0" w:line="240" w:lineRule="auto"/>
              <w:jc w:val="center"/>
              <w:rPr>
                <w:rFonts w:ascii="Times New Roman" w:hAnsi="Times New Roman" w:cs="Times New Roman"/>
                <w:bCs/>
                <w:sz w:val="14"/>
                <w:szCs w:val="14"/>
                <w:lang w:val="en-GB"/>
              </w:rPr>
            </w:pPr>
            <w:r w:rsidRPr="00FF31D4">
              <w:rPr>
                <w:rFonts w:ascii="Times New Roman" w:hAnsi="Times New Roman" w:cs="Times New Roman"/>
                <w:bCs/>
                <w:sz w:val="14"/>
                <w:szCs w:val="14"/>
                <w:lang w:val="en-GB"/>
              </w:rPr>
              <w:t>-.167</w:t>
            </w:r>
            <w:r w:rsidRPr="00FF31D4">
              <w:rPr>
                <w:rFonts w:ascii="Times New Roman" w:hAnsi="Times New Roman" w:cs="Times New Roman"/>
                <w:bCs/>
                <w:sz w:val="14"/>
                <w:szCs w:val="14"/>
                <w:vertAlign w:val="superscript"/>
                <w:lang w:val="en-GB"/>
              </w:rPr>
              <w:t>**</w:t>
            </w:r>
          </w:p>
        </w:tc>
        <w:tc>
          <w:tcPr>
            <w:tcW w:w="626" w:type="pct"/>
            <w:tcBorders>
              <w:top w:val="single" w:sz="4" w:space="0" w:color="auto"/>
            </w:tcBorders>
            <w:noWrap/>
            <w:vAlign w:val="center"/>
          </w:tcPr>
          <w:p w14:paraId="5C9CA9D7" w14:textId="77777777" w:rsidR="00AC7436" w:rsidRPr="00FF31D4" w:rsidRDefault="00005B7F">
            <w:pPr>
              <w:spacing w:after="0" w:line="240" w:lineRule="auto"/>
              <w:jc w:val="center"/>
              <w:rPr>
                <w:rFonts w:ascii="Times New Roman" w:hAnsi="Times New Roman" w:cs="Times New Roman"/>
                <w:bCs/>
                <w:sz w:val="14"/>
                <w:szCs w:val="14"/>
                <w:lang w:val="en-GB"/>
              </w:rPr>
            </w:pPr>
            <w:r w:rsidRPr="00FF31D4">
              <w:rPr>
                <w:rFonts w:ascii="Times New Roman" w:hAnsi="Times New Roman" w:cs="Times New Roman"/>
                <w:bCs/>
                <w:sz w:val="14"/>
                <w:szCs w:val="14"/>
                <w:lang w:val="en-GB"/>
              </w:rPr>
              <w:t>.252</w:t>
            </w:r>
            <w:r w:rsidRPr="00FF31D4">
              <w:rPr>
                <w:rFonts w:ascii="Times New Roman" w:hAnsi="Times New Roman" w:cs="Times New Roman"/>
                <w:bCs/>
                <w:sz w:val="14"/>
                <w:szCs w:val="14"/>
                <w:vertAlign w:val="superscript"/>
                <w:lang w:val="en-GB"/>
              </w:rPr>
              <w:t>**</w:t>
            </w:r>
          </w:p>
        </w:tc>
        <w:tc>
          <w:tcPr>
            <w:tcW w:w="626" w:type="pct"/>
            <w:tcBorders>
              <w:top w:val="single" w:sz="4" w:space="0" w:color="auto"/>
            </w:tcBorders>
            <w:noWrap/>
            <w:vAlign w:val="center"/>
          </w:tcPr>
          <w:p w14:paraId="012C74DA" w14:textId="77777777" w:rsidR="00AC7436" w:rsidRPr="00FF31D4" w:rsidRDefault="00005B7F">
            <w:pPr>
              <w:spacing w:after="0" w:line="240" w:lineRule="auto"/>
              <w:jc w:val="center"/>
              <w:rPr>
                <w:rFonts w:ascii="Times New Roman" w:hAnsi="Times New Roman" w:cs="Times New Roman"/>
                <w:bCs/>
                <w:sz w:val="14"/>
                <w:szCs w:val="14"/>
                <w:lang w:val="en-GB"/>
              </w:rPr>
            </w:pPr>
            <w:r w:rsidRPr="00FF31D4">
              <w:rPr>
                <w:rFonts w:ascii="Times New Roman" w:hAnsi="Times New Roman" w:cs="Times New Roman"/>
                <w:bCs/>
                <w:sz w:val="14"/>
                <w:szCs w:val="14"/>
                <w:lang w:val="en-GB"/>
              </w:rPr>
              <w:t>-.188</w:t>
            </w:r>
            <w:r w:rsidRPr="00FF31D4">
              <w:rPr>
                <w:rFonts w:ascii="Times New Roman" w:hAnsi="Times New Roman" w:cs="Times New Roman"/>
                <w:bCs/>
                <w:sz w:val="14"/>
                <w:szCs w:val="14"/>
                <w:vertAlign w:val="superscript"/>
                <w:lang w:val="en-GB"/>
              </w:rPr>
              <w:t>**</w:t>
            </w:r>
          </w:p>
        </w:tc>
        <w:tc>
          <w:tcPr>
            <w:tcW w:w="626" w:type="pct"/>
            <w:tcBorders>
              <w:top w:val="single" w:sz="4" w:space="0" w:color="auto"/>
            </w:tcBorders>
            <w:noWrap/>
            <w:vAlign w:val="center"/>
          </w:tcPr>
          <w:p w14:paraId="218B7736" w14:textId="77777777" w:rsidR="00AC7436" w:rsidRPr="00FF31D4" w:rsidRDefault="00005B7F">
            <w:pPr>
              <w:spacing w:after="0" w:line="240" w:lineRule="auto"/>
              <w:jc w:val="center"/>
              <w:rPr>
                <w:rFonts w:ascii="Times New Roman" w:hAnsi="Times New Roman" w:cs="Times New Roman"/>
                <w:bCs/>
                <w:sz w:val="14"/>
                <w:szCs w:val="14"/>
                <w:lang w:val="en-GB"/>
              </w:rPr>
            </w:pPr>
            <w:r w:rsidRPr="00FF31D4">
              <w:rPr>
                <w:rFonts w:ascii="Times New Roman" w:hAnsi="Times New Roman" w:cs="Times New Roman"/>
                <w:bCs/>
                <w:sz w:val="14"/>
                <w:szCs w:val="14"/>
                <w:lang w:val="en-GB"/>
              </w:rPr>
              <w:t>-.185</w:t>
            </w:r>
            <w:r w:rsidRPr="00FF31D4">
              <w:rPr>
                <w:rFonts w:ascii="Times New Roman" w:hAnsi="Times New Roman" w:cs="Times New Roman"/>
                <w:bCs/>
                <w:sz w:val="14"/>
                <w:szCs w:val="14"/>
                <w:vertAlign w:val="superscript"/>
                <w:lang w:val="en-GB"/>
              </w:rPr>
              <w:t>**</w:t>
            </w:r>
          </w:p>
        </w:tc>
        <w:tc>
          <w:tcPr>
            <w:tcW w:w="626" w:type="pct"/>
            <w:tcBorders>
              <w:top w:val="single" w:sz="4" w:space="0" w:color="auto"/>
            </w:tcBorders>
            <w:noWrap/>
            <w:vAlign w:val="center"/>
          </w:tcPr>
          <w:p w14:paraId="7E6905F1" w14:textId="77777777" w:rsidR="00AC7436" w:rsidRPr="00FF31D4" w:rsidRDefault="00005B7F">
            <w:pPr>
              <w:spacing w:after="0" w:line="240" w:lineRule="auto"/>
              <w:jc w:val="center"/>
              <w:rPr>
                <w:rFonts w:ascii="Times New Roman" w:hAnsi="Times New Roman" w:cs="Times New Roman"/>
                <w:bCs/>
                <w:sz w:val="14"/>
                <w:szCs w:val="14"/>
                <w:lang w:val="en-GB"/>
              </w:rPr>
            </w:pPr>
            <w:r w:rsidRPr="00FF31D4">
              <w:rPr>
                <w:rFonts w:ascii="Times New Roman" w:hAnsi="Times New Roman" w:cs="Times New Roman"/>
                <w:bCs/>
                <w:sz w:val="14"/>
                <w:szCs w:val="14"/>
                <w:lang w:val="en-GB"/>
              </w:rPr>
              <w:t>-.297</w:t>
            </w:r>
            <w:r w:rsidRPr="00FF31D4">
              <w:rPr>
                <w:rFonts w:ascii="Times New Roman" w:hAnsi="Times New Roman" w:cs="Times New Roman"/>
                <w:bCs/>
                <w:sz w:val="14"/>
                <w:szCs w:val="14"/>
                <w:vertAlign w:val="superscript"/>
                <w:lang w:val="en-GB"/>
              </w:rPr>
              <w:t>**</w:t>
            </w:r>
          </w:p>
        </w:tc>
      </w:tr>
      <w:tr w:rsidR="00FF31D4" w:rsidRPr="00FF31D4" w14:paraId="2E1EBEBF" w14:textId="77777777">
        <w:trPr>
          <w:trHeight w:val="300"/>
        </w:trPr>
        <w:tc>
          <w:tcPr>
            <w:tcW w:w="620" w:type="pct"/>
            <w:noWrap/>
            <w:vAlign w:val="center"/>
          </w:tcPr>
          <w:p w14:paraId="48DE761F" w14:textId="77777777" w:rsidR="00AC7436" w:rsidRPr="00FF31D4" w:rsidRDefault="00005B7F">
            <w:pPr>
              <w:spacing w:after="0" w:line="240" w:lineRule="auto"/>
              <w:jc w:val="center"/>
              <w:rPr>
                <w:rFonts w:ascii="Times New Roman" w:hAnsi="Times New Roman" w:cs="Times New Roman"/>
                <w:bCs/>
                <w:sz w:val="14"/>
                <w:szCs w:val="14"/>
                <w:lang w:val="en-GB"/>
              </w:rPr>
            </w:pPr>
            <w:r w:rsidRPr="00FF31D4">
              <w:rPr>
                <w:rFonts w:ascii="Times New Roman" w:hAnsi="Times New Roman" w:cs="Times New Roman"/>
                <w:bCs/>
                <w:sz w:val="14"/>
                <w:szCs w:val="14"/>
                <w:lang w:val="en-GB"/>
              </w:rPr>
              <w:t>Girls (age)</w:t>
            </w:r>
          </w:p>
        </w:tc>
        <w:tc>
          <w:tcPr>
            <w:tcW w:w="625" w:type="pct"/>
            <w:noWrap/>
            <w:vAlign w:val="center"/>
          </w:tcPr>
          <w:p w14:paraId="196667D1" w14:textId="77777777" w:rsidR="00AC7436" w:rsidRPr="00FF31D4" w:rsidRDefault="00005B7F">
            <w:pPr>
              <w:spacing w:after="0" w:line="240" w:lineRule="auto"/>
              <w:jc w:val="center"/>
              <w:rPr>
                <w:rFonts w:ascii="Times New Roman" w:hAnsi="Times New Roman" w:cs="Times New Roman"/>
                <w:bCs/>
                <w:sz w:val="14"/>
                <w:szCs w:val="14"/>
                <w:lang w:val="en-GB"/>
              </w:rPr>
            </w:pPr>
            <w:r w:rsidRPr="00FF31D4">
              <w:rPr>
                <w:rFonts w:ascii="Times New Roman" w:hAnsi="Times New Roman" w:cs="Times New Roman"/>
                <w:bCs/>
                <w:sz w:val="14"/>
                <w:szCs w:val="14"/>
                <w:lang w:val="en-GB"/>
              </w:rPr>
              <w:t>-.231</w:t>
            </w:r>
            <w:r w:rsidRPr="00FF31D4">
              <w:rPr>
                <w:rFonts w:ascii="Times New Roman" w:hAnsi="Times New Roman" w:cs="Times New Roman"/>
                <w:bCs/>
                <w:sz w:val="14"/>
                <w:szCs w:val="14"/>
                <w:vertAlign w:val="superscript"/>
                <w:lang w:val="en-GB"/>
              </w:rPr>
              <w:t>**</w:t>
            </w:r>
          </w:p>
        </w:tc>
        <w:tc>
          <w:tcPr>
            <w:tcW w:w="626" w:type="pct"/>
            <w:noWrap/>
            <w:vAlign w:val="center"/>
          </w:tcPr>
          <w:p w14:paraId="08A98DA1" w14:textId="77777777" w:rsidR="00AC7436" w:rsidRPr="00FF31D4" w:rsidRDefault="00005B7F">
            <w:pPr>
              <w:spacing w:after="0" w:line="240" w:lineRule="auto"/>
              <w:jc w:val="center"/>
              <w:rPr>
                <w:rFonts w:ascii="Times New Roman" w:hAnsi="Times New Roman" w:cs="Times New Roman"/>
                <w:bCs/>
                <w:sz w:val="14"/>
                <w:szCs w:val="14"/>
                <w:lang w:val="en-GB"/>
              </w:rPr>
            </w:pPr>
            <w:r w:rsidRPr="00FF31D4">
              <w:rPr>
                <w:rFonts w:ascii="Times New Roman" w:hAnsi="Times New Roman" w:cs="Times New Roman"/>
                <w:bCs/>
                <w:sz w:val="14"/>
                <w:szCs w:val="14"/>
                <w:lang w:val="en-GB"/>
              </w:rPr>
              <w:t>-.479</w:t>
            </w:r>
            <w:r w:rsidRPr="00FF31D4">
              <w:rPr>
                <w:rFonts w:ascii="Times New Roman" w:hAnsi="Times New Roman" w:cs="Times New Roman"/>
                <w:bCs/>
                <w:sz w:val="14"/>
                <w:szCs w:val="14"/>
                <w:vertAlign w:val="superscript"/>
                <w:lang w:val="en-GB"/>
              </w:rPr>
              <w:t>**</w:t>
            </w:r>
          </w:p>
        </w:tc>
        <w:tc>
          <w:tcPr>
            <w:tcW w:w="626" w:type="pct"/>
            <w:noWrap/>
            <w:vAlign w:val="center"/>
          </w:tcPr>
          <w:p w14:paraId="6BAAFEA6" w14:textId="77777777" w:rsidR="00AC7436" w:rsidRPr="00FF31D4" w:rsidRDefault="00005B7F">
            <w:pPr>
              <w:spacing w:after="0" w:line="240" w:lineRule="auto"/>
              <w:jc w:val="center"/>
              <w:rPr>
                <w:rFonts w:ascii="Times New Roman" w:hAnsi="Times New Roman" w:cs="Times New Roman"/>
                <w:bCs/>
                <w:sz w:val="14"/>
                <w:szCs w:val="14"/>
                <w:lang w:val="en-GB"/>
              </w:rPr>
            </w:pPr>
            <w:r w:rsidRPr="00FF31D4">
              <w:rPr>
                <w:rFonts w:ascii="Times New Roman" w:hAnsi="Times New Roman" w:cs="Times New Roman"/>
                <w:bCs/>
                <w:sz w:val="14"/>
                <w:szCs w:val="14"/>
                <w:lang w:val="en-GB"/>
              </w:rPr>
              <w:t>-.117</w:t>
            </w:r>
            <w:r w:rsidRPr="00FF31D4">
              <w:rPr>
                <w:rFonts w:ascii="Times New Roman" w:hAnsi="Times New Roman" w:cs="Times New Roman"/>
                <w:bCs/>
                <w:sz w:val="14"/>
                <w:szCs w:val="14"/>
                <w:vertAlign w:val="superscript"/>
                <w:lang w:val="en-GB"/>
              </w:rPr>
              <w:t>*</w:t>
            </w:r>
          </w:p>
        </w:tc>
        <w:tc>
          <w:tcPr>
            <w:tcW w:w="626" w:type="pct"/>
            <w:noWrap/>
            <w:vAlign w:val="center"/>
          </w:tcPr>
          <w:p w14:paraId="19F82A1B" w14:textId="77777777" w:rsidR="00AC7436" w:rsidRPr="00FF31D4" w:rsidRDefault="00005B7F">
            <w:pPr>
              <w:spacing w:after="0" w:line="240" w:lineRule="auto"/>
              <w:jc w:val="center"/>
              <w:rPr>
                <w:rFonts w:ascii="Times New Roman" w:hAnsi="Times New Roman" w:cs="Times New Roman"/>
                <w:bCs/>
                <w:sz w:val="14"/>
                <w:szCs w:val="14"/>
                <w:lang w:val="en-GB"/>
              </w:rPr>
            </w:pPr>
            <w:r w:rsidRPr="00FF31D4">
              <w:rPr>
                <w:rFonts w:ascii="Times New Roman" w:hAnsi="Times New Roman" w:cs="Times New Roman"/>
                <w:bCs/>
                <w:sz w:val="14"/>
                <w:szCs w:val="14"/>
                <w:lang w:val="en-GB"/>
              </w:rPr>
              <w:t>.223</w:t>
            </w:r>
            <w:r w:rsidRPr="00FF31D4">
              <w:rPr>
                <w:rFonts w:ascii="Times New Roman" w:hAnsi="Times New Roman" w:cs="Times New Roman"/>
                <w:bCs/>
                <w:sz w:val="14"/>
                <w:szCs w:val="14"/>
                <w:vertAlign w:val="superscript"/>
                <w:lang w:val="en-GB"/>
              </w:rPr>
              <w:t>**</w:t>
            </w:r>
          </w:p>
        </w:tc>
        <w:tc>
          <w:tcPr>
            <w:tcW w:w="626" w:type="pct"/>
            <w:noWrap/>
            <w:vAlign w:val="center"/>
          </w:tcPr>
          <w:p w14:paraId="607414C4" w14:textId="77777777" w:rsidR="00AC7436" w:rsidRPr="00FF31D4" w:rsidRDefault="00005B7F">
            <w:pPr>
              <w:spacing w:after="0" w:line="240" w:lineRule="auto"/>
              <w:jc w:val="center"/>
              <w:rPr>
                <w:rFonts w:ascii="Times New Roman" w:hAnsi="Times New Roman" w:cs="Times New Roman"/>
                <w:bCs/>
                <w:sz w:val="14"/>
                <w:szCs w:val="14"/>
                <w:lang w:val="en-GB"/>
              </w:rPr>
            </w:pPr>
            <w:r w:rsidRPr="00FF31D4">
              <w:rPr>
                <w:rFonts w:ascii="Times New Roman" w:hAnsi="Times New Roman" w:cs="Times New Roman"/>
                <w:bCs/>
                <w:sz w:val="14"/>
                <w:szCs w:val="14"/>
                <w:lang w:val="en-GB"/>
              </w:rPr>
              <w:t>-.443</w:t>
            </w:r>
            <w:r w:rsidRPr="00FF31D4">
              <w:rPr>
                <w:rFonts w:ascii="Times New Roman" w:hAnsi="Times New Roman" w:cs="Times New Roman"/>
                <w:bCs/>
                <w:sz w:val="14"/>
                <w:szCs w:val="14"/>
                <w:vertAlign w:val="superscript"/>
                <w:lang w:val="en-GB"/>
              </w:rPr>
              <w:t>**</w:t>
            </w:r>
          </w:p>
        </w:tc>
        <w:tc>
          <w:tcPr>
            <w:tcW w:w="626" w:type="pct"/>
            <w:noWrap/>
            <w:vAlign w:val="center"/>
          </w:tcPr>
          <w:p w14:paraId="604D7D91" w14:textId="77777777" w:rsidR="00AC7436" w:rsidRPr="00FF31D4" w:rsidRDefault="00005B7F">
            <w:pPr>
              <w:spacing w:after="0" w:line="240" w:lineRule="auto"/>
              <w:jc w:val="center"/>
              <w:rPr>
                <w:rFonts w:ascii="Times New Roman" w:hAnsi="Times New Roman" w:cs="Times New Roman"/>
                <w:bCs/>
                <w:sz w:val="14"/>
                <w:szCs w:val="14"/>
                <w:lang w:val="en-GB"/>
              </w:rPr>
            </w:pPr>
            <w:r w:rsidRPr="00FF31D4">
              <w:rPr>
                <w:rFonts w:ascii="Times New Roman" w:hAnsi="Times New Roman" w:cs="Times New Roman"/>
                <w:bCs/>
                <w:sz w:val="14"/>
                <w:szCs w:val="14"/>
                <w:lang w:val="en-GB"/>
              </w:rPr>
              <w:t>-.242</w:t>
            </w:r>
            <w:r w:rsidRPr="00FF31D4">
              <w:rPr>
                <w:rFonts w:ascii="Times New Roman" w:hAnsi="Times New Roman" w:cs="Times New Roman"/>
                <w:bCs/>
                <w:sz w:val="14"/>
                <w:szCs w:val="14"/>
                <w:vertAlign w:val="superscript"/>
                <w:lang w:val="en-GB"/>
              </w:rPr>
              <w:t>**</w:t>
            </w:r>
          </w:p>
        </w:tc>
        <w:tc>
          <w:tcPr>
            <w:tcW w:w="626" w:type="pct"/>
            <w:noWrap/>
            <w:vAlign w:val="center"/>
          </w:tcPr>
          <w:p w14:paraId="17D6FFC4" w14:textId="77777777" w:rsidR="00AC7436" w:rsidRPr="00FF31D4" w:rsidRDefault="00005B7F">
            <w:pPr>
              <w:spacing w:after="0" w:line="240" w:lineRule="auto"/>
              <w:jc w:val="center"/>
              <w:rPr>
                <w:rFonts w:ascii="Times New Roman" w:hAnsi="Times New Roman" w:cs="Times New Roman"/>
                <w:bCs/>
                <w:sz w:val="14"/>
                <w:szCs w:val="14"/>
                <w:lang w:val="en-GB"/>
              </w:rPr>
            </w:pPr>
            <w:r w:rsidRPr="00FF31D4">
              <w:rPr>
                <w:rFonts w:ascii="Times New Roman" w:hAnsi="Times New Roman" w:cs="Times New Roman"/>
                <w:bCs/>
                <w:sz w:val="14"/>
                <w:szCs w:val="14"/>
                <w:lang w:val="en-GB"/>
              </w:rPr>
              <w:t>-.389</w:t>
            </w:r>
            <w:r w:rsidRPr="00FF31D4">
              <w:rPr>
                <w:rFonts w:ascii="Times New Roman" w:hAnsi="Times New Roman" w:cs="Times New Roman"/>
                <w:bCs/>
                <w:sz w:val="14"/>
                <w:szCs w:val="14"/>
                <w:vertAlign w:val="superscript"/>
                <w:lang w:val="en-GB"/>
              </w:rPr>
              <w:t>**</w:t>
            </w:r>
          </w:p>
        </w:tc>
      </w:tr>
      <w:tr w:rsidR="00FF31D4" w:rsidRPr="00FF31D4" w14:paraId="27038079" w14:textId="77777777">
        <w:trPr>
          <w:trHeight w:val="300"/>
        </w:trPr>
        <w:tc>
          <w:tcPr>
            <w:tcW w:w="620" w:type="pct"/>
            <w:noWrap/>
            <w:vAlign w:val="center"/>
          </w:tcPr>
          <w:p w14:paraId="6C88763B" w14:textId="77777777" w:rsidR="00AC7436" w:rsidRPr="00FF31D4" w:rsidRDefault="00005B7F">
            <w:pPr>
              <w:spacing w:after="0" w:line="240" w:lineRule="auto"/>
              <w:jc w:val="center"/>
              <w:rPr>
                <w:rFonts w:ascii="Times New Roman" w:hAnsi="Times New Roman" w:cs="Times New Roman"/>
                <w:bCs/>
                <w:sz w:val="14"/>
                <w:szCs w:val="14"/>
                <w:lang w:val="en-GB"/>
              </w:rPr>
            </w:pPr>
            <w:r w:rsidRPr="00FF31D4">
              <w:rPr>
                <w:rFonts w:ascii="Times New Roman" w:hAnsi="Times New Roman" w:cs="Times New Roman"/>
                <w:bCs/>
                <w:sz w:val="14"/>
                <w:szCs w:val="14"/>
                <w:lang w:val="en-GB"/>
              </w:rPr>
              <w:t>Boys (age)</w:t>
            </w:r>
          </w:p>
        </w:tc>
        <w:tc>
          <w:tcPr>
            <w:tcW w:w="625" w:type="pct"/>
            <w:noWrap/>
            <w:vAlign w:val="center"/>
          </w:tcPr>
          <w:p w14:paraId="4A2CB543" w14:textId="77777777" w:rsidR="00AC7436" w:rsidRPr="00FF31D4" w:rsidRDefault="00005B7F">
            <w:pPr>
              <w:spacing w:after="0" w:line="240" w:lineRule="auto"/>
              <w:jc w:val="center"/>
              <w:rPr>
                <w:rFonts w:ascii="Times New Roman" w:hAnsi="Times New Roman" w:cs="Times New Roman"/>
                <w:bCs/>
                <w:sz w:val="14"/>
                <w:szCs w:val="14"/>
                <w:lang w:val="en-GB"/>
              </w:rPr>
            </w:pPr>
            <w:r w:rsidRPr="00FF31D4">
              <w:rPr>
                <w:rFonts w:ascii="Times New Roman" w:hAnsi="Times New Roman" w:cs="Times New Roman"/>
                <w:bCs/>
                <w:sz w:val="14"/>
                <w:szCs w:val="14"/>
                <w:lang w:val="en-GB"/>
              </w:rPr>
              <w:t>-.159</w:t>
            </w:r>
            <w:r w:rsidRPr="00FF31D4">
              <w:rPr>
                <w:rFonts w:ascii="Times New Roman" w:hAnsi="Times New Roman" w:cs="Times New Roman"/>
                <w:bCs/>
                <w:sz w:val="14"/>
                <w:szCs w:val="14"/>
                <w:vertAlign w:val="superscript"/>
                <w:lang w:val="en-GB"/>
              </w:rPr>
              <w:t>**</w:t>
            </w:r>
          </w:p>
        </w:tc>
        <w:tc>
          <w:tcPr>
            <w:tcW w:w="626" w:type="pct"/>
            <w:noWrap/>
            <w:vAlign w:val="center"/>
          </w:tcPr>
          <w:p w14:paraId="3032A0AF" w14:textId="77777777" w:rsidR="00AC7436" w:rsidRPr="00FF31D4" w:rsidRDefault="00005B7F">
            <w:pPr>
              <w:spacing w:after="0" w:line="240" w:lineRule="auto"/>
              <w:jc w:val="center"/>
              <w:rPr>
                <w:rFonts w:ascii="Times New Roman" w:hAnsi="Times New Roman" w:cs="Times New Roman"/>
                <w:bCs/>
                <w:sz w:val="14"/>
                <w:szCs w:val="14"/>
                <w:lang w:val="en-GB"/>
              </w:rPr>
            </w:pPr>
            <w:r w:rsidRPr="00FF31D4">
              <w:rPr>
                <w:rFonts w:ascii="Times New Roman" w:hAnsi="Times New Roman" w:cs="Times New Roman"/>
                <w:bCs/>
                <w:sz w:val="14"/>
                <w:szCs w:val="14"/>
                <w:lang w:val="en-GB"/>
              </w:rPr>
              <w:t>-.447</w:t>
            </w:r>
            <w:r w:rsidRPr="00FF31D4">
              <w:rPr>
                <w:rFonts w:ascii="Times New Roman" w:hAnsi="Times New Roman" w:cs="Times New Roman"/>
                <w:bCs/>
                <w:sz w:val="14"/>
                <w:szCs w:val="14"/>
                <w:vertAlign w:val="superscript"/>
                <w:lang w:val="en-GB"/>
              </w:rPr>
              <w:t>**</w:t>
            </w:r>
          </w:p>
        </w:tc>
        <w:tc>
          <w:tcPr>
            <w:tcW w:w="626" w:type="pct"/>
            <w:noWrap/>
            <w:vAlign w:val="center"/>
          </w:tcPr>
          <w:p w14:paraId="214B2F25" w14:textId="77777777" w:rsidR="00AC7436" w:rsidRPr="00FF31D4" w:rsidRDefault="00005B7F">
            <w:pPr>
              <w:spacing w:after="0" w:line="240" w:lineRule="auto"/>
              <w:jc w:val="center"/>
              <w:rPr>
                <w:rFonts w:ascii="Times New Roman" w:hAnsi="Times New Roman" w:cs="Times New Roman"/>
                <w:bCs/>
                <w:sz w:val="14"/>
                <w:szCs w:val="14"/>
                <w:lang w:val="en-GB"/>
              </w:rPr>
            </w:pPr>
            <w:r w:rsidRPr="00FF31D4">
              <w:rPr>
                <w:rFonts w:ascii="Times New Roman" w:hAnsi="Times New Roman" w:cs="Times New Roman"/>
                <w:bCs/>
                <w:sz w:val="14"/>
                <w:szCs w:val="14"/>
                <w:lang w:val="en-GB"/>
              </w:rPr>
              <w:t>-.214</w:t>
            </w:r>
            <w:r w:rsidRPr="00FF31D4">
              <w:rPr>
                <w:rFonts w:ascii="Times New Roman" w:hAnsi="Times New Roman" w:cs="Times New Roman"/>
                <w:bCs/>
                <w:sz w:val="14"/>
                <w:szCs w:val="14"/>
                <w:vertAlign w:val="superscript"/>
                <w:lang w:val="en-GB"/>
              </w:rPr>
              <w:t>**</w:t>
            </w:r>
          </w:p>
        </w:tc>
        <w:tc>
          <w:tcPr>
            <w:tcW w:w="626" w:type="pct"/>
            <w:noWrap/>
            <w:vAlign w:val="center"/>
          </w:tcPr>
          <w:p w14:paraId="5C5C628D" w14:textId="77777777" w:rsidR="00AC7436" w:rsidRPr="00FF31D4" w:rsidRDefault="00005B7F">
            <w:pPr>
              <w:spacing w:after="0" w:line="240" w:lineRule="auto"/>
              <w:jc w:val="center"/>
              <w:rPr>
                <w:rFonts w:ascii="Times New Roman" w:hAnsi="Times New Roman" w:cs="Times New Roman"/>
                <w:bCs/>
                <w:sz w:val="14"/>
                <w:szCs w:val="14"/>
                <w:lang w:val="en-GB"/>
              </w:rPr>
            </w:pPr>
            <w:r w:rsidRPr="00FF31D4">
              <w:rPr>
                <w:rFonts w:ascii="Times New Roman" w:hAnsi="Times New Roman" w:cs="Times New Roman"/>
                <w:bCs/>
                <w:sz w:val="14"/>
                <w:szCs w:val="14"/>
                <w:lang w:val="en-GB"/>
              </w:rPr>
              <w:t>.283</w:t>
            </w:r>
            <w:r w:rsidRPr="00FF31D4">
              <w:rPr>
                <w:rFonts w:ascii="Times New Roman" w:hAnsi="Times New Roman" w:cs="Times New Roman"/>
                <w:bCs/>
                <w:sz w:val="14"/>
                <w:szCs w:val="14"/>
                <w:vertAlign w:val="superscript"/>
                <w:lang w:val="en-GB"/>
              </w:rPr>
              <w:t>**</w:t>
            </w:r>
          </w:p>
        </w:tc>
        <w:tc>
          <w:tcPr>
            <w:tcW w:w="626" w:type="pct"/>
            <w:noWrap/>
            <w:vAlign w:val="center"/>
          </w:tcPr>
          <w:p w14:paraId="5F3D9955" w14:textId="77777777" w:rsidR="00AC7436" w:rsidRPr="00FF31D4" w:rsidRDefault="00005B7F">
            <w:pPr>
              <w:spacing w:after="0" w:line="240" w:lineRule="auto"/>
              <w:jc w:val="center"/>
              <w:rPr>
                <w:rFonts w:ascii="Times New Roman" w:hAnsi="Times New Roman" w:cs="Times New Roman"/>
                <w:bCs/>
                <w:sz w:val="14"/>
                <w:szCs w:val="14"/>
                <w:lang w:val="en-GB"/>
              </w:rPr>
            </w:pPr>
            <w:r w:rsidRPr="00FF31D4">
              <w:rPr>
                <w:rFonts w:ascii="Times New Roman" w:hAnsi="Times New Roman" w:cs="Times New Roman"/>
                <w:bCs/>
                <w:sz w:val="14"/>
                <w:szCs w:val="14"/>
                <w:lang w:val="en-GB"/>
              </w:rPr>
              <w:t>-.040</w:t>
            </w:r>
          </w:p>
        </w:tc>
        <w:tc>
          <w:tcPr>
            <w:tcW w:w="626" w:type="pct"/>
            <w:noWrap/>
            <w:vAlign w:val="center"/>
          </w:tcPr>
          <w:p w14:paraId="5930311D" w14:textId="77777777" w:rsidR="00AC7436" w:rsidRPr="00FF31D4" w:rsidRDefault="00005B7F">
            <w:pPr>
              <w:spacing w:after="0" w:line="240" w:lineRule="auto"/>
              <w:jc w:val="center"/>
              <w:rPr>
                <w:rFonts w:ascii="Times New Roman" w:hAnsi="Times New Roman" w:cs="Times New Roman"/>
                <w:bCs/>
                <w:sz w:val="14"/>
                <w:szCs w:val="14"/>
                <w:lang w:val="en-GB"/>
              </w:rPr>
            </w:pPr>
            <w:r w:rsidRPr="00FF31D4">
              <w:rPr>
                <w:rFonts w:ascii="Times New Roman" w:hAnsi="Times New Roman" w:cs="Times New Roman"/>
                <w:bCs/>
                <w:sz w:val="14"/>
                <w:szCs w:val="14"/>
                <w:lang w:val="en-GB"/>
              </w:rPr>
              <w:t>-.127</w:t>
            </w:r>
            <w:r w:rsidRPr="00FF31D4">
              <w:rPr>
                <w:rFonts w:ascii="Times New Roman" w:hAnsi="Times New Roman" w:cs="Times New Roman"/>
                <w:bCs/>
                <w:sz w:val="14"/>
                <w:szCs w:val="14"/>
                <w:vertAlign w:val="superscript"/>
                <w:lang w:val="en-GB"/>
              </w:rPr>
              <w:t>*</w:t>
            </w:r>
          </w:p>
        </w:tc>
        <w:tc>
          <w:tcPr>
            <w:tcW w:w="626" w:type="pct"/>
            <w:noWrap/>
            <w:vAlign w:val="center"/>
          </w:tcPr>
          <w:p w14:paraId="28D8FA35" w14:textId="77777777" w:rsidR="00AC7436" w:rsidRPr="00FF31D4" w:rsidRDefault="00005B7F">
            <w:pPr>
              <w:spacing w:after="0" w:line="240" w:lineRule="auto"/>
              <w:jc w:val="center"/>
              <w:rPr>
                <w:rFonts w:ascii="Times New Roman" w:hAnsi="Times New Roman" w:cs="Times New Roman"/>
                <w:bCs/>
                <w:sz w:val="14"/>
                <w:szCs w:val="14"/>
                <w:lang w:val="en-GB"/>
              </w:rPr>
            </w:pPr>
            <w:r w:rsidRPr="00FF31D4">
              <w:rPr>
                <w:rFonts w:ascii="Times New Roman" w:hAnsi="Times New Roman" w:cs="Times New Roman"/>
                <w:bCs/>
                <w:sz w:val="14"/>
                <w:szCs w:val="14"/>
                <w:lang w:val="en-GB"/>
              </w:rPr>
              <w:t>-.208</w:t>
            </w:r>
            <w:r w:rsidRPr="00FF31D4">
              <w:rPr>
                <w:rFonts w:ascii="Times New Roman" w:hAnsi="Times New Roman" w:cs="Times New Roman"/>
                <w:bCs/>
                <w:sz w:val="14"/>
                <w:szCs w:val="14"/>
                <w:vertAlign w:val="superscript"/>
                <w:lang w:val="en-GB"/>
              </w:rPr>
              <w:t>**</w:t>
            </w:r>
          </w:p>
        </w:tc>
      </w:tr>
    </w:tbl>
    <w:p w14:paraId="4C6464CB" w14:textId="77777777" w:rsidR="00AC7436" w:rsidRPr="00FF31D4" w:rsidRDefault="00005B7F">
      <w:pPr>
        <w:spacing w:after="0" w:line="240" w:lineRule="auto"/>
        <w:rPr>
          <w:rFonts w:ascii="Times New Roman" w:hAnsi="Times New Roman" w:cs="Times New Roman"/>
          <w:bCs/>
          <w:sz w:val="16"/>
          <w:szCs w:val="16"/>
          <w:lang w:val="en-GB"/>
        </w:rPr>
      </w:pPr>
      <w:r w:rsidRPr="00FF31D4">
        <w:rPr>
          <w:rFonts w:ascii="Times New Roman" w:hAnsi="Times New Roman" w:cs="Times New Roman"/>
          <w:bCs/>
          <w:sz w:val="16"/>
          <w:szCs w:val="16"/>
          <w:lang w:val="en-GB"/>
        </w:rPr>
        <w:t>* p &lt; 0.05; ** p &lt; 0.01</w:t>
      </w:r>
    </w:p>
    <w:p w14:paraId="427B9A7C" w14:textId="77777777" w:rsidR="00AC7436" w:rsidRPr="00FF31D4" w:rsidRDefault="00005B7F">
      <w:pPr>
        <w:spacing w:before="240" w:after="0" w:line="240" w:lineRule="auto"/>
        <w:jc w:val="center"/>
        <w:rPr>
          <w:rFonts w:ascii="Times New Roman" w:eastAsia="Times New Roman" w:hAnsi="Times New Roman" w:cs="Times New Roman"/>
          <w:sz w:val="20"/>
          <w:szCs w:val="20"/>
          <w:lang w:val="en-GB" w:eastAsia="es-ES"/>
        </w:rPr>
      </w:pPr>
      <w:r w:rsidRPr="00FF31D4">
        <w:rPr>
          <w:rFonts w:ascii="Times New Roman" w:hAnsi="Times New Roman" w:cs="Times New Roman"/>
          <w:b/>
          <w:sz w:val="20"/>
          <w:szCs w:val="20"/>
          <w:lang w:val="en-GB"/>
        </w:rPr>
        <w:t>Discussion</w:t>
      </w:r>
    </w:p>
    <w:p w14:paraId="1AE25F9D" w14:textId="77777777" w:rsidR="00AC7436" w:rsidRPr="00FF31D4" w:rsidRDefault="00005B7F">
      <w:pPr>
        <w:spacing w:before="240" w:line="480" w:lineRule="auto"/>
        <w:ind w:firstLine="709"/>
        <w:jc w:val="both"/>
        <w:rPr>
          <w:rFonts w:ascii="Times New Roman" w:hAnsi="Times New Roman" w:cs="Times New Roman"/>
          <w:sz w:val="20"/>
          <w:szCs w:val="20"/>
          <w:lang w:val="en-GB"/>
        </w:rPr>
      </w:pPr>
      <w:r w:rsidRPr="00FF31D4">
        <w:rPr>
          <w:rFonts w:ascii="Times New Roman" w:hAnsi="Times New Roman" w:cs="Times New Roman"/>
          <w:sz w:val="20"/>
          <w:szCs w:val="20"/>
          <w:lang w:val="en-GB"/>
        </w:rPr>
        <w:t>Firstly, findings of the present study revealed that age is negatively associated with CVRS, with adolescents from the oldest age group reporting the lowest CVRS indices. This outcome was seen both in the overall score and in relation to all of the individual dimensions that comprised it. Studies with European adolescents have previously highlighted this trend, with most dimensions of HRQoL declining significantly from 12 years onwards (Molina et al., 2014). This drop throughout adolescence may be explained through the lens of psychological development. Specifically, the changes experienced by adolescents in all aspects of life may lead to unstable subjective well-being (Flammer &amp; Alsaker, 2002),</w:t>
      </w:r>
      <w:r w:rsidRPr="00FF31D4">
        <w:rPr>
          <w:rFonts w:ascii="Times New Roman" w:hAnsi="Times New Roman" w:cs="Times New Roman"/>
          <w:lang w:val="en-GB"/>
        </w:rPr>
        <w:t xml:space="preserve"> </w:t>
      </w:r>
      <w:r w:rsidRPr="00FF31D4">
        <w:rPr>
          <w:rFonts w:ascii="Times New Roman" w:hAnsi="Times New Roman" w:cs="Times New Roman"/>
          <w:sz w:val="20"/>
          <w:szCs w:val="20"/>
          <w:lang w:val="en-GB"/>
        </w:rPr>
        <w:t>with this being particularly meaningful in the case of females (Michel et al., 2009) and, above all, in relation to their physical and psychological well-being (Biegger et al., 2005).</w:t>
      </w:r>
    </w:p>
    <w:p w14:paraId="797AD855" w14:textId="77777777" w:rsidR="00AC7436" w:rsidRPr="00FF31D4" w:rsidRDefault="00005B7F">
      <w:pPr>
        <w:spacing w:before="240" w:line="480" w:lineRule="auto"/>
        <w:ind w:firstLine="709"/>
        <w:jc w:val="both"/>
        <w:rPr>
          <w:rFonts w:ascii="Times New Roman" w:hAnsi="Times New Roman" w:cs="Times New Roman"/>
          <w:sz w:val="20"/>
          <w:szCs w:val="20"/>
          <w:lang w:val="en-GB"/>
        </w:rPr>
      </w:pPr>
      <w:r w:rsidRPr="00FF31D4">
        <w:rPr>
          <w:rFonts w:ascii="Times New Roman" w:hAnsi="Times New Roman" w:cs="Times New Roman"/>
          <w:sz w:val="20"/>
          <w:szCs w:val="20"/>
          <w:lang w:val="en-GB"/>
        </w:rPr>
        <w:t xml:space="preserve">Upon examination of the findings produced in relation to the various dimensions, fourth-year secondary school students presented poorer psychological well-being indices, although differences were only significant in the case of girls. This outcome coincides with findings reported by Meade et al. (2016), which found that girls reported a continuous weakening of their psychological well-being throughout adolescence. In this sense, key aspects such as menstruation and hormonal effects are likely to be determinant (Mastorci et al., 2020). Likewise, coping skills also appear to exert an important influence given that girls tend to be less efficient at managing their problems, with this leading to a higher risk of suffering issues linked to psychological well-being (Hampel &amp; Petermann, 2005; Eschenbeck et al., 2007). Along these same lines, the HBSC study found that 41.3% of 15-16-year-old adolescents suffered psychological malaise more than once a week, whilst only 31.3% of the 11-12-year-old age group reported this same issue (Moreno et al., 2019). Furthermore, another study revealed that although mental well-being deteriorated in both genders during adolescence, it was suffered more intensely by girls (Otto et al., 2021). </w:t>
      </w:r>
    </w:p>
    <w:p w14:paraId="78CA2DF6" w14:textId="77777777" w:rsidR="00AC7436" w:rsidRPr="00FF31D4" w:rsidRDefault="00005B7F">
      <w:pPr>
        <w:spacing w:before="240" w:line="480" w:lineRule="auto"/>
        <w:ind w:firstLine="709"/>
        <w:jc w:val="both"/>
        <w:rPr>
          <w:rFonts w:ascii="Times New Roman" w:hAnsi="Times New Roman" w:cs="Times New Roman"/>
          <w:sz w:val="20"/>
          <w:szCs w:val="20"/>
          <w:lang w:val="en-GB"/>
        </w:rPr>
      </w:pPr>
      <w:r w:rsidRPr="00FF31D4">
        <w:rPr>
          <w:rFonts w:ascii="Times New Roman" w:hAnsi="Times New Roman" w:cs="Times New Roman"/>
          <w:sz w:val="20"/>
          <w:szCs w:val="20"/>
          <w:lang w:val="en-GB"/>
        </w:rPr>
        <w:t xml:space="preserve">With regards to physical well-being, first-year adolescents once again reported significantly higher indices than fourth-year students, regardless of sex. Physiological changes originating during this stage could provide the key to explaining this finding given that the onset of puberty sees an intense and sudden change to the body (Wood et al., 2019). At the same time, the worse outcomes obtained in the present study in relation to the lifestyle habits engaged in by fourth-year adolescents may be partly explained by their lower physical well-being. This is because healthy dietary patterns (Park et al., 2018) and PA engagement (Costigan et al., 2019) are key to physical health during this stage. The HBSC study also corroborated these findings in that it established that 29.5% of 15-16-year-old adolescents experienced physical malaise more than once a week, whilst only 21.2% of the 11-12-year-old age group reported this same issue (Moreno et al., 2019). </w:t>
      </w:r>
    </w:p>
    <w:p w14:paraId="7F522495" w14:textId="77777777" w:rsidR="00AC7436" w:rsidRPr="00FF31D4" w:rsidRDefault="00005B7F">
      <w:pPr>
        <w:spacing w:before="240" w:line="480" w:lineRule="auto"/>
        <w:ind w:firstLine="709"/>
        <w:jc w:val="both"/>
        <w:rPr>
          <w:rFonts w:ascii="Times New Roman" w:hAnsi="Times New Roman" w:cs="Times New Roman"/>
          <w:sz w:val="20"/>
          <w:szCs w:val="20"/>
          <w:lang w:val="en-GB"/>
        </w:rPr>
      </w:pPr>
      <w:r w:rsidRPr="00FF31D4">
        <w:rPr>
          <w:rFonts w:ascii="Times New Roman" w:hAnsi="Times New Roman" w:cs="Times New Roman"/>
          <w:sz w:val="20"/>
          <w:szCs w:val="20"/>
          <w:lang w:val="en-GB"/>
        </w:rPr>
        <w:t xml:space="preserve">Turning attention to the dimension linked to social support, fourth-year adolescents reported lower indices. This is in accordance with a previous study in which satisfaction with friends and social support was lower amongst 16-18-year-old young people than amongst 10-12-year-olds (Sepúlveda et al., 2013). </w:t>
      </w:r>
      <w:bookmarkStart w:id="3" w:name="_Hlk98509521"/>
      <w:r w:rsidRPr="00FF31D4">
        <w:rPr>
          <w:rFonts w:ascii="Times New Roman" w:hAnsi="Times New Roman" w:cs="Times New Roman"/>
          <w:sz w:val="20"/>
          <w:szCs w:val="20"/>
          <w:lang w:val="en-GB"/>
        </w:rPr>
        <w:t xml:space="preserve">Similarly, changes have also been recorded in terms of emotions and brain maturation, which could directly influence emotional regulation during middle adolescence (Crone &amp; Dahl, 2012). This, in turn, could affect pro-social skills (Padilla‐Walker &amp; Christensen, 2011). </w:t>
      </w:r>
      <w:bookmarkStart w:id="4" w:name="_Hlk98511104"/>
      <w:bookmarkEnd w:id="3"/>
      <w:r w:rsidRPr="00FF31D4">
        <w:rPr>
          <w:rFonts w:ascii="Times New Roman" w:hAnsi="Times New Roman" w:cs="Times New Roman"/>
          <w:sz w:val="20"/>
          <w:szCs w:val="20"/>
          <w:lang w:val="en-GB"/>
        </w:rPr>
        <w:t xml:space="preserve">Nevertheless, differences were only significant in the case of girls. This may be related to the way in which stressful events associated with adolescence affect the quality of social relationships as a function of gender, with girls appearing to suffer a deterioration in their relationships with both their family and their peers (McMahon et al., 2020).  </w:t>
      </w:r>
      <w:bookmarkEnd w:id="4"/>
    </w:p>
    <w:p w14:paraId="0D526FD4" w14:textId="77777777" w:rsidR="00AC7436" w:rsidRPr="00FF31D4" w:rsidRDefault="00005B7F">
      <w:pPr>
        <w:spacing w:before="240" w:line="480" w:lineRule="auto"/>
        <w:ind w:firstLine="709"/>
        <w:jc w:val="both"/>
        <w:rPr>
          <w:rFonts w:ascii="Times New Roman" w:hAnsi="Times New Roman" w:cs="Times New Roman"/>
          <w:sz w:val="20"/>
          <w:szCs w:val="20"/>
          <w:lang w:val="en-GB"/>
        </w:rPr>
      </w:pPr>
      <w:r w:rsidRPr="00FF31D4">
        <w:rPr>
          <w:rFonts w:ascii="Times New Roman" w:hAnsi="Times New Roman" w:cs="Times New Roman"/>
          <w:sz w:val="20"/>
          <w:szCs w:val="20"/>
          <w:lang w:val="en-GB"/>
        </w:rPr>
        <w:t xml:space="preserve">With regards to academic well-being, well-being indices were lower in both male and female adolescents attending the fourth year of secondary school. A trend seems to exist towards reduced academic satisfaction with increasing age. This was demonstrated in a previous study in which 47.9% of students aged 11-12 years reported liking their school compared to just 12.8% of 15-16-year-olds (Moreno et al., 2019). During this stage, academic pressure increases as students progress through the academic years. This leads to greater academic burnout (Praviainen et al., 2021) and, at the same time, progressive worsening of relationships with teachers (Yu et al., 2018) and reduced academic motivation (Eccles et al., 2018). All of this could partly explain the differences uncovered in the present study. </w:t>
      </w:r>
    </w:p>
    <w:p w14:paraId="2E98C9B2" w14:textId="77777777" w:rsidR="00AC7436" w:rsidRPr="00FF31D4" w:rsidRDefault="00005B7F">
      <w:pPr>
        <w:spacing w:before="240" w:line="480" w:lineRule="auto"/>
        <w:ind w:firstLine="709"/>
        <w:jc w:val="both"/>
        <w:rPr>
          <w:rFonts w:ascii="Times New Roman" w:hAnsi="Times New Roman" w:cs="Times New Roman"/>
          <w:sz w:val="20"/>
          <w:szCs w:val="20"/>
          <w:lang w:val="en-GB"/>
        </w:rPr>
      </w:pPr>
      <w:r w:rsidRPr="00FF31D4">
        <w:rPr>
          <w:rFonts w:ascii="Times New Roman" w:hAnsi="Times New Roman" w:cs="Times New Roman"/>
          <w:sz w:val="20"/>
          <w:szCs w:val="20"/>
          <w:lang w:val="en-GB"/>
        </w:rPr>
        <w:t xml:space="preserve">Finally, with regards to the dimension linked with autonomy and parental relationships, older adolescents also reported worse well-being indices, with differences being significant in the case of girls. In a similar sense, a previously conducted study concluded that 10-12-year-old adolescents perceived their relationship with their family to be more positive than that of 16-18-year-olds (Molina et al., 2014). With increasing age, the perceptions held by young people about the quality of their relationships with their parents constantly decreases, increasing the frequency of arguments and conflict, especially, in the case of girls (McGue et al., 2005; Parra et al., 2015). </w:t>
      </w:r>
    </w:p>
    <w:p w14:paraId="367E758D" w14:textId="5191F64A" w:rsidR="00AC7436" w:rsidRPr="00FF31D4" w:rsidRDefault="00005B7F">
      <w:pPr>
        <w:spacing w:before="240" w:line="480" w:lineRule="auto"/>
        <w:ind w:firstLine="709"/>
        <w:jc w:val="both"/>
        <w:rPr>
          <w:rFonts w:ascii="Times New Roman" w:hAnsi="Times New Roman" w:cs="Times New Roman"/>
          <w:sz w:val="20"/>
          <w:szCs w:val="20"/>
          <w:lang w:val="en-GB"/>
        </w:rPr>
      </w:pPr>
      <w:r w:rsidRPr="00FF31D4">
        <w:rPr>
          <w:rFonts w:ascii="Times New Roman" w:hAnsi="Times New Roman" w:cs="Times New Roman"/>
          <w:sz w:val="20"/>
          <w:szCs w:val="20"/>
          <w:lang w:val="en-GB"/>
        </w:rPr>
        <w:t xml:space="preserve">With regards to levels of self-esteem, previous research has concluded that self-esteem remains stable during adolescence (Birkeland et al., 2012), with no influence of </w:t>
      </w:r>
      <w:r w:rsidR="0044079C" w:rsidRPr="00FF31D4">
        <w:rPr>
          <w:rFonts w:ascii="Times New Roman" w:hAnsi="Times New Roman" w:cs="Times New Roman"/>
          <w:sz w:val="20"/>
          <w:szCs w:val="20"/>
          <w:lang w:val="en-GB"/>
        </w:rPr>
        <w:t>sex</w:t>
      </w:r>
      <w:r w:rsidRPr="00FF31D4">
        <w:rPr>
          <w:rFonts w:ascii="Times New Roman" w:hAnsi="Times New Roman" w:cs="Times New Roman"/>
          <w:sz w:val="20"/>
          <w:szCs w:val="20"/>
          <w:lang w:val="en-GB"/>
        </w:rPr>
        <w:t xml:space="preserve"> emerging (Erol &amp; Orth, 2011). Nonetheless, in the present study, age was negatively associated with self-esteem, with older students reporting the lowest scores for this variable. This decline may be related with lower HRQoL indices, PA and MD adherence recorded for fourth-year students. This is supported by previous findings of relationships between these aforementioned variables and self-esteem (Knox &amp; Muros, 2017). Previously conducted studies have reported higher indices of self-esteem at this stage in boys, whilst also revealing a predictive influence in both sexes of domains related with personal confidence, attractiveness and academic competence (Quatman &amp; Watson, 2001). In this sense, the influence of the family setting is also essential (Krauss et al., 2020). This may partly explain the drop in self-esteem suffered by girls, who also reported a worsening of their parental relationships in the present study.</w:t>
      </w:r>
      <w:r w:rsidRPr="00FF31D4">
        <w:rPr>
          <w:rFonts w:ascii="Times New Roman" w:hAnsi="Times New Roman" w:cs="Times New Roman"/>
          <w:lang w:val="en-GB"/>
        </w:rPr>
        <w:t xml:space="preserve"> </w:t>
      </w:r>
      <w:r w:rsidRPr="00FF31D4">
        <w:rPr>
          <w:rFonts w:ascii="Times New Roman" w:hAnsi="Times New Roman" w:cs="Times New Roman"/>
          <w:sz w:val="20"/>
          <w:szCs w:val="20"/>
          <w:lang w:val="en-GB"/>
        </w:rPr>
        <w:t>Along the same lines, a study conducted by Helwig and Ruprecht (2017) revealed that, in the case of Western girls, self-esteem declined during middle adolescence (13-17 years old). These findings were explained in accordance with sociocultural factors inherent to the West which differ when compared with existing trends in other regions such as Asia and the Pacific. In this regard, factors related inherent to the female gender such as, for example, their lower status in diverse cultural contexts or awareness of gender discrimination may contribute to better understanding of uncovered differences (Zuckerman et al., 2016).</w:t>
      </w:r>
      <w:r w:rsidRPr="00FF31D4">
        <w:rPr>
          <w:rFonts w:ascii="Times New Roman" w:hAnsi="Times New Roman" w:cs="Times New Roman"/>
          <w:lang w:val="en-GB"/>
        </w:rPr>
        <w:t xml:space="preserve"> </w:t>
      </w:r>
      <w:r w:rsidRPr="00FF31D4">
        <w:rPr>
          <w:rFonts w:ascii="Times New Roman" w:hAnsi="Times New Roman" w:cs="Times New Roman"/>
          <w:sz w:val="20"/>
          <w:szCs w:val="20"/>
          <w:lang w:val="en-GB"/>
        </w:rPr>
        <w:t>On the other hand, ideals promoting thinness could also be used to explain findings, with older adolescent girls tending to be more aware and to internalise to a greater extent sociocultural attitudes towards appearance. This, in turn, directly affects self-esteem (Clay et al., 2005).</w:t>
      </w:r>
    </w:p>
    <w:p w14:paraId="2C706B6E" w14:textId="77777777" w:rsidR="00AC7436" w:rsidRPr="00FF31D4" w:rsidRDefault="00005B7F">
      <w:pPr>
        <w:spacing w:before="240" w:after="0" w:line="480" w:lineRule="auto"/>
        <w:ind w:firstLine="709"/>
        <w:jc w:val="both"/>
        <w:rPr>
          <w:rFonts w:ascii="Times New Roman" w:hAnsi="Times New Roman" w:cs="Times New Roman"/>
          <w:sz w:val="20"/>
          <w:szCs w:val="20"/>
          <w:lang w:val="en-GB"/>
        </w:rPr>
      </w:pPr>
      <w:r w:rsidRPr="00FF31D4">
        <w:rPr>
          <w:rFonts w:ascii="Times New Roman" w:hAnsi="Times New Roman" w:cs="Times New Roman"/>
          <w:sz w:val="20"/>
          <w:szCs w:val="20"/>
          <w:lang w:val="en-GB"/>
        </w:rPr>
        <w:t>PA was also found to be negatively associated with age, with the lowest overall scores and individual scores for most times of the day being recorded for the oldest age group of students. One of the factors that determines this decrement is related with the perception of the difficulty of engagement. From the age of 13 onwards, adolescents note having less free time due to an increase in school workload (De Quel et al., 2010). Furthermore, our results coincide with those obtained by Silva et al.</w:t>
      </w:r>
      <w:r w:rsidRPr="00FF31D4">
        <w:rPr>
          <w:rFonts w:ascii="Times New Roman" w:hAnsi="Times New Roman" w:cs="Times New Roman"/>
          <w:sz w:val="20"/>
          <w:szCs w:val="20"/>
          <w:vertAlign w:val="superscript"/>
          <w:lang w:val="en-GB"/>
        </w:rPr>
        <w:t xml:space="preserve"> </w:t>
      </w:r>
      <w:r w:rsidRPr="00FF31D4">
        <w:rPr>
          <w:rFonts w:ascii="Times New Roman" w:hAnsi="Times New Roman" w:cs="Times New Roman"/>
          <w:sz w:val="20"/>
          <w:szCs w:val="20"/>
          <w:lang w:val="en-GB"/>
        </w:rPr>
        <w:t xml:space="preserve">(2018), who also proposed that less time was available for older adolescents to engage in PA at school, both at break time and during Physical Education classes. </w:t>
      </w:r>
      <w:bookmarkStart w:id="5" w:name="_Hlk98007043"/>
      <w:r w:rsidRPr="00FF31D4">
        <w:rPr>
          <w:rFonts w:ascii="Times New Roman" w:hAnsi="Times New Roman" w:cs="Times New Roman"/>
          <w:sz w:val="20"/>
          <w:szCs w:val="20"/>
          <w:lang w:val="en-GB"/>
        </w:rPr>
        <w:t xml:space="preserve">In this sense, it is noteworthy that the drop in PA levels in this subject was only significant in the case of girls. This may be due to the fact that enjoyment from engagement in physical activities decreases over time in girls, whilst remaining stable in boys (Cairney et al., 2012). Along similar lines, Beltrán-Carrillo et al. (2012) uncovered that girl perceive fewer opportunities to participate in Physical Education classes, potentially due to the lack of availability of lesson plans of interest to them, in addition to the greater focus on physical ability and motor skills to the detriment of effort or progress. </w:t>
      </w:r>
      <w:bookmarkEnd w:id="5"/>
    </w:p>
    <w:p w14:paraId="6FD62031" w14:textId="77777777" w:rsidR="00AC7436" w:rsidRPr="00FF31D4" w:rsidRDefault="00005B7F">
      <w:pPr>
        <w:spacing w:before="240" w:after="0" w:line="480" w:lineRule="auto"/>
        <w:ind w:firstLine="709"/>
        <w:jc w:val="both"/>
        <w:rPr>
          <w:rFonts w:ascii="Times New Roman" w:hAnsi="Times New Roman" w:cs="Times New Roman"/>
          <w:sz w:val="20"/>
          <w:szCs w:val="20"/>
          <w:lang w:val="en-GB"/>
        </w:rPr>
      </w:pPr>
      <w:r w:rsidRPr="00FF31D4">
        <w:rPr>
          <w:rFonts w:ascii="Times New Roman" w:hAnsi="Times New Roman" w:cs="Times New Roman"/>
          <w:sz w:val="20"/>
          <w:szCs w:val="20"/>
          <w:lang w:val="en-GB"/>
        </w:rPr>
        <w:t xml:space="preserve">The same trend was seen during the 18:00-22:00 time period, with a significant decline seen in the case of girls. This time period pertains to the time of day at which organised extra-curricular activities are provided, with a meaningful increase in dropout from sport occurring from 14 years onwards, according to scientific evidence (Eime et al., 2019). Some of the determining factors of this dropout include lack of time, peer and family pressure, injuries, presence of a competitive mindset, and environmental barriers (Witt et al., 2018). With regards to the notable decrease found in girls, the predominance of male-oriented models in sport and the lack of an attractive sport offer for girls could lead to a loss of interest in filling leisure time with physical activities and organised sports (Pfister &amp; Sisjord, 2013). Indeed, </w:t>
      </w:r>
      <w:bookmarkStart w:id="6" w:name="_Hlk98511646"/>
      <w:r w:rsidRPr="00FF31D4">
        <w:rPr>
          <w:rFonts w:ascii="Times New Roman" w:hAnsi="Times New Roman" w:cs="Times New Roman"/>
          <w:sz w:val="20"/>
          <w:szCs w:val="20"/>
          <w:lang w:val="en-GB"/>
        </w:rPr>
        <w:t xml:space="preserve">data gathered in the present study also indicated a significant drop in engagement in these types of activities. Finally, boys appear to have greater motivation to engage in physical exercise (Portela-Pino et al., 2020), whilst girls point to the existence of more barriers, such as the lack of energy and willpower (Rosselli et al., 2020). </w:t>
      </w:r>
      <w:bookmarkEnd w:id="6"/>
    </w:p>
    <w:p w14:paraId="049DF1B7" w14:textId="77777777" w:rsidR="00AC7436" w:rsidRPr="00FF31D4" w:rsidRDefault="00005B7F">
      <w:pPr>
        <w:spacing w:before="240" w:after="0" w:line="480" w:lineRule="auto"/>
        <w:ind w:firstLine="708"/>
        <w:jc w:val="both"/>
        <w:rPr>
          <w:lang w:val="en-GB"/>
        </w:rPr>
      </w:pPr>
      <w:r w:rsidRPr="00FF31D4">
        <w:rPr>
          <w:rFonts w:ascii="Times New Roman" w:hAnsi="Times New Roman" w:cs="Times New Roman"/>
          <w:sz w:val="20"/>
          <w:szCs w:val="20"/>
          <w:lang w:val="en-GB"/>
        </w:rPr>
        <w:t>In relation to VO</w:t>
      </w:r>
      <w:r w:rsidRPr="00FF31D4">
        <w:rPr>
          <w:rFonts w:ascii="Times New Roman" w:hAnsi="Times New Roman" w:cs="Times New Roman"/>
          <w:sz w:val="20"/>
          <w:szCs w:val="20"/>
          <w:vertAlign w:val="subscript"/>
          <w:lang w:val="en-GB"/>
        </w:rPr>
        <w:t>2</w:t>
      </w:r>
      <w:r w:rsidRPr="00FF31D4">
        <w:rPr>
          <w:rFonts w:ascii="Times New Roman" w:hAnsi="Times New Roman" w:cs="Times New Roman"/>
          <w:sz w:val="20"/>
          <w:szCs w:val="20"/>
          <w:lang w:val="en-GB"/>
        </w:rPr>
        <w:t>max, there are a large number of studies that associate healthy habits with changes in the physical condition, with engagement in PA standing out as a determinant (Defina et al., 2015). The highest rate of abandonment of physical-sporting activities emerges during adolescence, increasing further with age. This is a predictor of VO</w:t>
      </w:r>
      <w:r w:rsidRPr="00FF31D4">
        <w:rPr>
          <w:rFonts w:ascii="Times New Roman" w:hAnsi="Times New Roman" w:cs="Times New Roman"/>
          <w:sz w:val="20"/>
          <w:szCs w:val="20"/>
          <w:vertAlign w:val="subscript"/>
          <w:lang w:val="en-GB"/>
        </w:rPr>
        <w:t>2</w:t>
      </w:r>
      <w:r w:rsidRPr="00FF31D4">
        <w:rPr>
          <w:rFonts w:ascii="Times New Roman" w:hAnsi="Times New Roman" w:cs="Times New Roman"/>
          <w:sz w:val="20"/>
          <w:szCs w:val="20"/>
          <w:lang w:val="en-GB"/>
        </w:rPr>
        <w:t>max (</w:t>
      </w:r>
      <w:r w:rsidRPr="00FF31D4">
        <w:rPr>
          <w:rFonts w:ascii="Times New Roman" w:hAnsi="Times New Roman" w:cs="Times New Roman"/>
          <w:sz w:val="20"/>
          <w:szCs w:val="20"/>
          <w:shd w:val="clear" w:color="auto" w:fill="FFFFFF"/>
          <w:lang w:val="en-GB"/>
        </w:rPr>
        <w:t>De Baere et al., 2016)</w:t>
      </w:r>
      <w:r w:rsidRPr="00FF31D4">
        <w:rPr>
          <w:rFonts w:ascii="Times New Roman" w:hAnsi="Times New Roman" w:cs="Times New Roman"/>
          <w:sz w:val="20"/>
          <w:szCs w:val="20"/>
          <w:lang w:val="en-GB"/>
        </w:rPr>
        <w:t xml:space="preserve"> and could explain the association found between both variables in the case of girls.</w:t>
      </w:r>
      <w:r w:rsidRPr="00FF31D4">
        <w:rPr>
          <w:lang w:val="en-GB"/>
        </w:rPr>
        <w:t xml:space="preserve"> </w:t>
      </w:r>
      <w:r w:rsidRPr="00FF31D4">
        <w:rPr>
          <w:rFonts w:ascii="Times New Roman" w:hAnsi="Times New Roman" w:cs="Times New Roman"/>
          <w:sz w:val="20"/>
          <w:szCs w:val="20"/>
          <w:shd w:val="clear" w:color="auto" w:fill="FFFFFF"/>
          <w:lang w:val="en-GB"/>
        </w:rPr>
        <w:t>In relation to the aforementioned findings, an accentuated decline in this indicator is highlighted amongst females, as shown in the study of Ramos et al. (2016). These authors found higher levels of sedentary behaviour in a population of female adolescents relative to their male counterparts. In this sense, the lower levels of PA and engagement in sporting activities recorded in girls with increasing age could be used to explain obtained outcomes (Pfeiffer et al., 2007). Of the various motives identified for adolescent sport and physical activity dropout, cultural, social and individual aspects stand out, such as loss of interest, lack of ability and time, feelings derived from stereotypes pertaining to traditional masculine sports, exposure to mocking, and concern about appearance during sport engagement (Slater &amp; Tiggermann, 2010). This makes clear the importance of promoting PA amongst females during this period.</w:t>
      </w:r>
    </w:p>
    <w:p w14:paraId="3A4E9AF9" w14:textId="77777777" w:rsidR="00AC7436" w:rsidRPr="00FF31D4" w:rsidRDefault="00005B7F">
      <w:pPr>
        <w:spacing w:before="240" w:after="0" w:line="480" w:lineRule="auto"/>
        <w:ind w:firstLine="708"/>
        <w:jc w:val="both"/>
        <w:rPr>
          <w:rFonts w:ascii="Times New Roman" w:hAnsi="Times New Roman" w:cs="Times New Roman"/>
          <w:sz w:val="20"/>
          <w:szCs w:val="20"/>
          <w:shd w:val="clear" w:color="auto" w:fill="FFFFFF"/>
          <w:lang w:val="en-GB"/>
        </w:rPr>
      </w:pPr>
      <w:r w:rsidRPr="00FF31D4">
        <w:rPr>
          <w:rFonts w:ascii="Times New Roman" w:hAnsi="Times New Roman" w:cs="Times New Roman"/>
          <w:sz w:val="20"/>
          <w:szCs w:val="20"/>
          <w:shd w:val="clear" w:color="auto" w:fill="FFFFFF"/>
          <w:lang w:val="en-GB"/>
        </w:rPr>
        <w:t xml:space="preserve">With regards to the duration of nightly sleep, correlational analysis revealed a negative association with age, with the oldest adolescent group reported less nightly sleep. Late adolescence is a time during which important changes are recorded in the biological (delayed circadian rhythm), psychological, social and educational spheres which may negatively influence both the quantity and quality of sleep (Carskadon, 2011). Likewise, more frequent screen and social network use with increasing age may also contribute towards explaining the differences described above (Belmon et al., 2019; Twenge et al., 2019). </w:t>
      </w:r>
    </w:p>
    <w:p w14:paraId="749C23B6" w14:textId="77777777" w:rsidR="00AC7436" w:rsidRPr="00FF31D4" w:rsidRDefault="00005B7F">
      <w:pPr>
        <w:spacing w:before="240" w:after="0" w:line="480" w:lineRule="auto"/>
        <w:ind w:firstLine="709"/>
        <w:jc w:val="both"/>
        <w:rPr>
          <w:rFonts w:ascii="Times New Roman" w:hAnsi="Times New Roman" w:cs="Times New Roman"/>
          <w:sz w:val="20"/>
          <w:szCs w:val="20"/>
          <w:lang w:val="en-GB"/>
        </w:rPr>
      </w:pPr>
      <w:r w:rsidRPr="00FF31D4">
        <w:rPr>
          <w:rFonts w:ascii="Times New Roman" w:hAnsi="Times New Roman" w:cs="Times New Roman"/>
          <w:sz w:val="20"/>
          <w:szCs w:val="20"/>
          <w:lang w:val="en-GB"/>
        </w:rPr>
        <w:t xml:space="preserve">With regards to MD adherence, this was also negatively associated with age, with older adolescents again providing the lowest adherence indices. </w:t>
      </w:r>
      <w:r w:rsidRPr="00FF31D4">
        <w:rPr>
          <w:rFonts w:ascii="Times New Roman" w:hAnsi="Times New Roman" w:cs="Times New Roman"/>
          <w:sz w:val="20"/>
          <w:szCs w:val="20"/>
          <w:shd w:val="clear" w:color="auto" w:fill="FFFFFF"/>
          <w:lang w:val="en-GB"/>
        </w:rPr>
        <w:t>The reasons behind these changes in dietary behaviour must be understood from a global perspective where all of the biological, cultural and psychological interactions being experienced by the adolescent influence their behaviour and performance patterns.</w:t>
      </w:r>
      <w:r w:rsidRPr="00FF31D4">
        <w:rPr>
          <w:lang w:val="en-GB"/>
        </w:rPr>
        <w:t xml:space="preserve"> </w:t>
      </w:r>
      <w:r w:rsidRPr="00FF31D4">
        <w:rPr>
          <w:rFonts w:ascii="Times New Roman" w:hAnsi="Times New Roman" w:cs="Times New Roman"/>
          <w:sz w:val="20"/>
          <w:szCs w:val="20"/>
          <w:shd w:val="clear" w:color="auto" w:fill="FFFFFF"/>
          <w:lang w:val="en-GB"/>
        </w:rPr>
        <w:t xml:space="preserve">Aspects such as socio-cultural idealisation of thinness and personality characteristics of adolescents themselves oriented towards perfection could negatively influence dietary behaviour (Culbert et al., 2015). Likewise, </w:t>
      </w:r>
      <w:bookmarkStart w:id="7" w:name="_Hlk104136726"/>
      <w:r w:rsidRPr="00FF31D4">
        <w:rPr>
          <w:rFonts w:ascii="Times New Roman" w:hAnsi="Times New Roman" w:cs="Times New Roman"/>
          <w:sz w:val="20"/>
          <w:szCs w:val="20"/>
          <w:shd w:val="clear" w:color="auto" w:fill="FFFFFF"/>
          <w:lang w:val="en-GB"/>
        </w:rPr>
        <w:t xml:space="preserve">increasing autonomy in older aged adolescents is linked with a higher consumption of fast food (Nestle, 2002). </w:t>
      </w:r>
      <w:r w:rsidRPr="00FF31D4">
        <w:rPr>
          <w:rFonts w:ascii="Times New Roman" w:hAnsi="Times New Roman" w:cs="Times New Roman"/>
          <w:sz w:val="20"/>
          <w:szCs w:val="20"/>
          <w:shd w:val="clear" w:color="auto" w:fill="FFFFFF"/>
          <w:lang w:val="en-US"/>
        </w:rPr>
        <w:t xml:space="preserve">This may be due to aspects such as acceptance by the peer group and the ease of access to fast food outside of the home </w:t>
      </w:r>
      <w:r w:rsidRPr="00FF31D4">
        <w:rPr>
          <w:rFonts w:ascii="Times New Roman" w:hAnsi="Times New Roman" w:cs="Times New Roman"/>
          <w:sz w:val="20"/>
          <w:szCs w:val="20"/>
          <w:shd w:val="clear" w:color="auto" w:fill="FFFFFF"/>
          <w:lang w:val="en-GB"/>
        </w:rPr>
        <w:t>(Koehn et al., 2016).</w:t>
      </w:r>
    </w:p>
    <w:bookmarkEnd w:id="7"/>
    <w:p w14:paraId="2512F47B" w14:textId="77777777" w:rsidR="00AC7436" w:rsidRPr="00FF31D4" w:rsidRDefault="00005B7F">
      <w:pPr>
        <w:spacing w:before="240" w:line="480" w:lineRule="auto"/>
        <w:ind w:firstLine="709"/>
        <w:jc w:val="both"/>
        <w:rPr>
          <w:rFonts w:ascii="Times New Roman" w:hAnsi="Times New Roman" w:cs="Times New Roman"/>
          <w:sz w:val="20"/>
          <w:szCs w:val="20"/>
          <w:lang w:val="en-GB"/>
        </w:rPr>
      </w:pPr>
      <w:r w:rsidRPr="00FF31D4">
        <w:rPr>
          <w:rFonts w:ascii="Times New Roman" w:hAnsi="Times New Roman" w:cs="Times New Roman"/>
          <w:sz w:val="20"/>
          <w:szCs w:val="20"/>
          <w:lang w:val="en-GB"/>
        </w:rPr>
        <w:t>In the analysis of the different indicators of adherence to the MD, a greater frequency was found for eating breakfast every day, together with a greater consumption of cereals and its derivatives, amongst younger students. These results concur with those found in another study</w:t>
      </w:r>
      <w:r w:rsidRPr="00FF31D4">
        <w:rPr>
          <w:rFonts w:ascii="Times New Roman" w:hAnsi="Times New Roman" w:cs="Times New Roman"/>
          <w:sz w:val="20"/>
          <w:szCs w:val="20"/>
          <w:vertAlign w:val="superscript"/>
          <w:lang w:val="en-GB"/>
        </w:rPr>
        <w:t xml:space="preserve"> </w:t>
      </w:r>
      <w:r w:rsidRPr="00FF31D4">
        <w:rPr>
          <w:rFonts w:ascii="Times New Roman" w:hAnsi="Times New Roman" w:cs="Times New Roman"/>
          <w:sz w:val="20"/>
          <w:szCs w:val="20"/>
          <w:lang w:val="en-GB"/>
        </w:rPr>
        <w:t>(Barr et al., 2014), where the percentage of students who did not eat breakfast increased notably with age, whilst the consumption of cereal also decreased.</w:t>
      </w:r>
      <w:r w:rsidRPr="00FF31D4">
        <w:rPr>
          <w:rFonts w:ascii="Times New Roman" w:hAnsi="Times New Roman" w:cs="Times New Roman"/>
          <w:sz w:val="20"/>
          <w:szCs w:val="20"/>
          <w:shd w:val="clear" w:color="auto" w:fill="FFFFFF"/>
          <w:lang w:val="en-GB"/>
        </w:rPr>
        <w:t xml:space="preserve"> In this sense, the arguments offered by adolescents against eating breakfast were based on a lack of time and appetite, though socioeconomic factors of the family should not be forgotten (Hearst et al., 2016)</w:t>
      </w:r>
      <w:r w:rsidRPr="00FF31D4">
        <w:rPr>
          <w:rFonts w:ascii="Times New Roman" w:hAnsi="Times New Roman" w:cs="Times New Roman"/>
          <w:sz w:val="20"/>
          <w:szCs w:val="20"/>
          <w:lang w:val="en-GB"/>
        </w:rPr>
        <w:t xml:space="preserve">. </w:t>
      </w:r>
      <w:bookmarkStart w:id="8" w:name="_Hlk66960178"/>
      <w:r w:rsidRPr="00FF31D4">
        <w:rPr>
          <w:rFonts w:ascii="Times New Roman" w:hAnsi="Times New Roman" w:cs="Times New Roman"/>
          <w:sz w:val="20"/>
          <w:szCs w:val="20"/>
          <w:lang w:val="en-GB"/>
        </w:rPr>
        <w:t>In relation with fruit consumption, the present research reported higher consumption amongst first-year pupils. This is in accordance with another study on Spanish adolescents</w:t>
      </w:r>
      <w:r w:rsidRPr="00FF31D4">
        <w:rPr>
          <w:rFonts w:ascii="Times New Roman" w:hAnsi="Times New Roman" w:cs="Times New Roman"/>
          <w:sz w:val="20"/>
          <w:szCs w:val="20"/>
          <w:vertAlign w:val="superscript"/>
          <w:lang w:val="en-GB"/>
        </w:rPr>
        <w:t xml:space="preserve"> </w:t>
      </w:r>
      <w:r w:rsidRPr="00FF31D4">
        <w:rPr>
          <w:rFonts w:ascii="Times New Roman" w:hAnsi="Times New Roman" w:cs="Times New Roman"/>
          <w:sz w:val="20"/>
          <w:szCs w:val="20"/>
          <w:lang w:val="en-GB"/>
        </w:rPr>
        <w:t>(Moreno et al., 2019) which found fruit to be consumed at least once a day in 41.5% of 11-12-year-old adolescents, relative to just 30.9% in 15-16-year-old adolescents.</w:t>
      </w:r>
      <w:bookmarkEnd w:id="8"/>
      <w:r w:rsidRPr="00FF31D4">
        <w:rPr>
          <w:rFonts w:ascii="Times New Roman" w:hAnsi="Times New Roman" w:cs="Times New Roman"/>
          <w:sz w:val="20"/>
          <w:szCs w:val="20"/>
          <w:lang w:val="en-GB"/>
        </w:rPr>
        <w:t xml:space="preserve"> In the same way and in accordance with the obtained results, studies in relation to the consumption of fish and nuts reflect a significant decrease with increasing age (Vernetta et al., 2018). In contrast, both greater consumption of vegetables and attendance to fast food establishments was recorded for older students, with this outcome also coinciding with those obtained by another previously conducted study (Li et al., 2020). This greater attendance to fast food outlets could be due to greater autonomy and frequency of eating without parental control with advancing age</w:t>
      </w:r>
      <w:r w:rsidRPr="00FF31D4">
        <w:rPr>
          <w:rFonts w:ascii="Times New Roman" w:hAnsi="Times New Roman" w:cs="Times New Roman"/>
          <w:sz w:val="20"/>
          <w:szCs w:val="20"/>
          <w:vertAlign w:val="superscript"/>
          <w:lang w:val="en-GB"/>
        </w:rPr>
        <w:t xml:space="preserve"> </w:t>
      </w:r>
      <w:r w:rsidRPr="00FF31D4">
        <w:rPr>
          <w:rFonts w:ascii="Times New Roman" w:hAnsi="Times New Roman" w:cs="Times New Roman"/>
          <w:sz w:val="20"/>
          <w:szCs w:val="20"/>
          <w:lang w:val="en-GB"/>
        </w:rPr>
        <w:t>(Reicks et al., 2019).</w:t>
      </w:r>
    </w:p>
    <w:p w14:paraId="6339D3CB" w14:textId="77777777" w:rsidR="00AC7436" w:rsidRPr="00FF31D4" w:rsidRDefault="00005B7F">
      <w:pPr>
        <w:spacing w:before="240" w:line="480" w:lineRule="auto"/>
        <w:ind w:firstLine="709"/>
        <w:jc w:val="both"/>
        <w:rPr>
          <w:rFonts w:ascii="Times New Roman" w:hAnsi="Times New Roman" w:cs="Times New Roman"/>
          <w:sz w:val="20"/>
          <w:szCs w:val="20"/>
          <w:lang w:val="en-US"/>
        </w:rPr>
      </w:pPr>
      <w:r w:rsidRPr="00FF31D4">
        <w:rPr>
          <w:rFonts w:ascii="Times New Roman" w:hAnsi="Times New Roman" w:cs="Times New Roman"/>
          <w:sz w:val="20"/>
          <w:szCs w:val="20"/>
          <w:lang w:val="en-GB"/>
        </w:rPr>
        <w:t xml:space="preserve">Nonetheless, despite emergence of this general tendency, some differences were found as a function of sex. Of the most notable, girls did not report any decrease in their consumption of legumes or in the habit of eating breakfast, nor were they found to increase their trips to fast food establishments whilst, on the other hand, boys did not report any decline in fish consumption. In this sense, the evolution of dietary patterns during adolescence seems to differ between both sexes (Movassagh et al., 2017; Hassan et al., 2018), with the social, cultural and family setting having a key and differentiating influence on the choice of foodstuffs (Hinning et al., 2018; </w:t>
      </w:r>
      <w:r w:rsidRPr="00FF31D4">
        <w:rPr>
          <w:rFonts w:ascii="Times New Roman" w:hAnsi="Times New Roman" w:cs="Times New Roman"/>
          <w:sz w:val="20"/>
          <w:szCs w:val="20"/>
          <w:shd w:val="clear" w:color="auto" w:fill="FFFFFF"/>
          <w:lang w:val="en-GB"/>
        </w:rPr>
        <w:t>Arcila-Agudelo et al., 2019</w:t>
      </w:r>
      <w:r w:rsidRPr="00FF31D4">
        <w:rPr>
          <w:rFonts w:ascii="Times New Roman" w:hAnsi="Times New Roman" w:cs="Times New Roman"/>
          <w:sz w:val="20"/>
          <w:szCs w:val="20"/>
          <w:lang w:val="en-GB"/>
        </w:rPr>
        <w:t xml:space="preserve">). </w:t>
      </w:r>
      <w:r w:rsidRPr="00FF31D4">
        <w:rPr>
          <w:rFonts w:ascii="Times New Roman" w:hAnsi="Times New Roman" w:cs="Times New Roman"/>
          <w:sz w:val="20"/>
          <w:szCs w:val="20"/>
          <w:lang w:val="en-US"/>
        </w:rPr>
        <w:t>In a similar sense, the sociocultural pressure experienced by girls from early adolescence onwards to meet beauty ideals of thinness is also key (Rolls et al., 1991).</w:t>
      </w:r>
    </w:p>
    <w:p w14:paraId="3C7F0D08" w14:textId="5B1191AC" w:rsidR="00AC7436" w:rsidRPr="00FF31D4" w:rsidRDefault="00005B7F">
      <w:pPr>
        <w:pStyle w:val="Textocomentario"/>
        <w:spacing w:line="480" w:lineRule="auto"/>
        <w:ind w:firstLine="708"/>
        <w:jc w:val="both"/>
        <w:rPr>
          <w:rFonts w:ascii="Times New Roman" w:hAnsi="Times New Roman" w:cs="Times New Roman"/>
          <w:lang w:val="en-GB"/>
        </w:rPr>
      </w:pPr>
      <w:r w:rsidRPr="00FF31D4">
        <w:rPr>
          <w:rFonts w:ascii="Times New Roman" w:hAnsi="Times New Roman" w:cs="Times New Roman"/>
          <w:lang w:val="en-GB"/>
        </w:rPr>
        <w:t xml:space="preserve">Finally, despite the lower values for PA engagement and MD adherence found within older students, trends favouring indices of overweight and obesity seemed to decrease in both genders, with this being significant in the case of males. Further, correlational analysis revealed age to be positively associated with BMI, regardless of </w:t>
      </w:r>
      <w:r w:rsidR="0044079C" w:rsidRPr="00FF31D4">
        <w:rPr>
          <w:rFonts w:ascii="Times New Roman" w:hAnsi="Times New Roman" w:cs="Times New Roman"/>
          <w:lang w:val="en-GB"/>
        </w:rPr>
        <w:t>sex</w:t>
      </w:r>
      <w:r w:rsidRPr="00FF31D4">
        <w:rPr>
          <w:rFonts w:ascii="Times New Roman" w:hAnsi="Times New Roman" w:cs="Times New Roman"/>
          <w:lang w:val="en-GB"/>
        </w:rPr>
        <w:t xml:space="preserve">. This circumstance has already been described in the Spanish National Health Survey (2018), where lower percentages of overweight and obesity are also found for adolescents aged 15-17 years old relative to those aged 10-14. These outcomes can be explained by the slowed growth seen to occur immediately before the maximum acceleration in growth marked by the pubertal growth spurt (Güemes-Hidalgo et al., 2017). This typically occurs at between 12-13 years old in girls and 14-15 years old in boys, and has a special relevance regarding the increase in size, leading to a general decrease in BMI. </w:t>
      </w:r>
    </w:p>
    <w:p w14:paraId="7123B02A" w14:textId="77777777" w:rsidR="00AC7436" w:rsidRPr="00FF31D4" w:rsidRDefault="00005B7F">
      <w:pPr>
        <w:pStyle w:val="Textocomentario"/>
        <w:spacing w:line="480" w:lineRule="auto"/>
        <w:ind w:firstLine="708"/>
        <w:jc w:val="both"/>
        <w:rPr>
          <w:rFonts w:ascii="Times New Roman" w:eastAsia="Times New Roman" w:hAnsi="Times New Roman" w:cs="Times New Roman"/>
          <w:lang w:val="en-GB" w:eastAsia="es-ES"/>
        </w:rPr>
      </w:pPr>
      <w:r w:rsidRPr="00FF31D4">
        <w:rPr>
          <w:rFonts w:ascii="Times New Roman" w:hAnsi="Times New Roman" w:cs="Times New Roman"/>
          <w:lang w:val="en-GB"/>
        </w:rPr>
        <w:t>The present study applied a novel focus to adolescent health, evaluating overall physical, psychological and social health during two different phases of adolescent development. This permitted an analysis of the trends of the evolution of the previously presented variables according to age. Further, the obtainment of significant samples from the two school years studied adds to the reliability of the presented results. Equally, it is relevant to highlight homogeneity in the protocol employed during field work which, crucially, was carried out by the same researcher from the research team. Despite this, the study presents some limitations such as its cross-sectional design, which makes it impossible to make causal conclusions about the differences outlined. Furthermore, the use of self-report forms in the evaluation of some of the studied variables increases the likelihood of committing measurement error. Despite this, the validity and reliability of the instruments used has been previously demonstrated within the population studied. This adds to the coherence and consistency of the presented results.</w:t>
      </w:r>
      <w:r w:rsidRPr="00FF31D4">
        <w:rPr>
          <w:rFonts w:ascii="Times New Roman" w:eastAsia="Times New Roman" w:hAnsi="Times New Roman" w:cs="Times New Roman"/>
          <w:lang w:val="en-GB" w:eastAsia="es-ES"/>
        </w:rPr>
        <w:t xml:space="preserve"> </w:t>
      </w:r>
    </w:p>
    <w:p w14:paraId="012A274F" w14:textId="77777777" w:rsidR="00AC7436" w:rsidRPr="00FF31D4" w:rsidRDefault="00005B7F">
      <w:pPr>
        <w:pStyle w:val="Textocomentario"/>
        <w:ind w:firstLine="708"/>
        <w:jc w:val="both"/>
        <w:rPr>
          <w:rFonts w:ascii="Times New Roman" w:eastAsia="Times New Roman" w:hAnsi="Times New Roman" w:cs="Times New Roman"/>
          <w:b/>
          <w:bCs/>
          <w:lang w:val="en-GB" w:eastAsia="es-ES"/>
        </w:rPr>
      </w:pPr>
      <w:r w:rsidRPr="00FF31D4">
        <w:rPr>
          <w:rFonts w:ascii="Times New Roman" w:eastAsia="Times New Roman" w:hAnsi="Times New Roman" w:cs="Times New Roman"/>
          <w:b/>
          <w:bCs/>
          <w:lang w:val="en-GB" w:eastAsia="es-ES"/>
        </w:rPr>
        <w:t>Conclusion</w:t>
      </w:r>
    </w:p>
    <w:p w14:paraId="5CC97264" w14:textId="269BE5E8" w:rsidR="00AC7436" w:rsidRPr="00FF31D4" w:rsidRDefault="00005B7F" w:rsidP="00FF31D4">
      <w:pPr>
        <w:pStyle w:val="Textocomentario"/>
        <w:spacing w:line="480" w:lineRule="auto"/>
        <w:ind w:firstLine="708"/>
        <w:jc w:val="both"/>
        <w:rPr>
          <w:rFonts w:ascii="Times New Roman" w:eastAsia="Times New Roman" w:hAnsi="Times New Roman" w:cs="Times New Roman"/>
          <w:lang w:val="en-GB" w:eastAsia="es-ES"/>
        </w:rPr>
      </w:pPr>
      <w:bookmarkStart w:id="9" w:name="_Hlk106447205"/>
      <w:r w:rsidRPr="00FF31D4">
        <w:rPr>
          <w:rFonts w:ascii="Times New Roman" w:eastAsia="Times New Roman" w:hAnsi="Times New Roman" w:cs="Times New Roman"/>
          <w:lang w:val="en-GB" w:eastAsia="es-ES"/>
        </w:rPr>
        <w:t xml:space="preserve">First year secondary school students reported more positive indices regarding all examined lifestyle habits and health indicators: self-esteem, health-related quality of life, physical activity, Mediterranean diet adherence, hours of nightly sleep and maximal oxygen consumption. Indeed, BMI was the only variable to score more highly in fourth year students. In addition, analysis as a function of </w:t>
      </w:r>
      <w:r w:rsidR="0044079C" w:rsidRPr="00FF31D4">
        <w:rPr>
          <w:rFonts w:ascii="Times New Roman" w:eastAsia="Times New Roman" w:hAnsi="Times New Roman" w:cs="Times New Roman"/>
          <w:lang w:val="en-US" w:eastAsia="es-ES"/>
        </w:rPr>
        <w:t>sex</w:t>
      </w:r>
      <w:r w:rsidRPr="00FF31D4">
        <w:rPr>
          <w:rFonts w:ascii="Times New Roman" w:eastAsia="Times New Roman" w:hAnsi="Times New Roman" w:cs="Times New Roman"/>
          <w:lang w:val="en-GB" w:eastAsia="es-ES"/>
        </w:rPr>
        <w:t xml:space="preserve"> demonstrated similar trends for all variables apart from VO</w:t>
      </w:r>
      <w:r w:rsidRPr="00FF31D4">
        <w:rPr>
          <w:rFonts w:ascii="Times New Roman" w:eastAsia="Times New Roman" w:hAnsi="Times New Roman" w:cs="Times New Roman"/>
          <w:vertAlign w:val="subscript"/>
          <w:lang w:val="en-GB" w:eastAsia="es-ES"/>
        </w:rPr>
        <w:t>2</w:t>
      </w:r>
      <w:r w:rsidRPr="00FF31D4">
        <w:rPr>
          <w:rFonts w:ascii="Times New Roman" w:eastAsia="Times New Roman" w:hAnsi="Times New Roman" w:cs="Times New Roman"/>
          <w:lang w:val="en-GB" w:eastAsia="es-ES"/>
        </w:rPr>
        <w:t>max and self-esteem, with these not producing significant relationships in boys. Likewise, correlational analysis revealed age to be negatively associated with lifestyle habits (physical activity engagement, hours of nightly sleep and Mediterranean diet adherence) and health indicators (VO2max, self-esteem and HRQoL), whilst being positively associated with BMI. Outcomes were consistent regardless of sex, except in the case of VO</w:t>
      </w:r>
      <w:r w:rsidRPr="00FF31D4">
        <w:rPr>
          <w:rFonts w:ascii="Times New Roman" w:eastAsia="Times New Roman" w:hAnsi="Times New Roman" w:cs="Times New Roman"/>
          <w:vertAlign w:val="subscript"/>
          <w:lang w:val="en-GB" w:eastAsia="es-ES"/>
        </w:rPr>
        <w:t>2</w:t>
      </w:r>
      <w:r w:rsidRPr="00FF31D4">
        <w:rPr>
          <w:rFonts w:ascii="Times New Roman" w:eastAsia="Times New Roman" w:hAnsi="Times New Roman" w:cs="Times New Roman"/>
          <w:lang w:val="en-GB" w:eastAsia="es-ES"/>
        </w:rPr>
        <w:t xml:space="preserve">max, which did not produce a significant association in boys. </w:t>
      </w:r>
      <w:bookmarkEnd w:id="9"/>
      <w:r w:rsidRPr="00FF31D4">
        <w:rPr>
          <w:rFonts w:ascii="Times New Roman" w:eastAsia="Times New Roman" w:hAnsi="Times New Roman" w:cs="Times New Roman"/>
          <w:lang w:val="en-GB" w:eastAsia="es-ES"/>
        </w:rPr>
        <w:t>Understanding the existing relationships between lifestyle and habits at different moments in adolescent development enables valuable information to be collected, from which future health-related problems can be predicted and prevented. The differences found denote the importance for educational and health organisations to take the variables of age and sex into consideration at the time of planning intervention strategies targeting health throughout adolescence.</w:t>
      </w:r>
    </w:p>
    <w:p w14:paraId="3736536D" w14:textId="4ADA6887" w:rsidR="00AC7436" w:rsidRPr="00FF31D4" w:rsidRDefault="00FF31D4" w:rsidP="00FF31D4">
      <w:pPr>
        <w:pStyle w:val="Textocomentario"/>
        <w:spacing w:line="480" w:lineRule="auto"/>
        <w:ind w:firstLine="708"/>
        <w:jc w:val="center"/>
        <w:rPr>
          <w:rFonts w:ascii="Times New Roman" w:eastAsia="Times New Roman" w:hAnsi="Times New Roman" w:cs="Times New Roman"/>
          <w:b/>
          <w:bCs/>
          <w:lang w:eastAsia="es-ES"/>
        </w:rPr>
      </w:pPr>
      <w:r w:rsidRPr="00FF31D4">
        <w:rPr>
          <w:rFonts w:ascii="Times New Roman" w:eastAsia="Times New Roman" w:hAnsi="Times New Roman" w:cs="Times New Roman"/>
          <w:b/>
          <w:bCs/>
          <w:lang w:eastAsia="es-ES"/>
        </w:rPr>
        <w:t>REFERENCES</w:t>
      </w:r>
      <w:bookmarkStart w:id="10" w:name="_Hlk99188505"/>
    </w:p>
    <w:p w14:paraId="3A2B420F"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eastAsia="es-ES"/>
        </w:rPr>
      </w:pPr>
      <w:r w:rsidRPr="00FF31D4">
        <w:rPr>
          <w:rFonts w:ascii="Times New Roman" w:eastAsia="Times New Roman" w:hAnsi="Times New Roman" w:cs="Times New Roman"/>
          <w:lang w:eastAsia="es-ES"/>
        </w:rPr>
        <w:t xml:space="preserve">Arcila-Agudelo, A. M., Ferrer-Svoboda, C., Torres-Fernàndez, T., &amp; Farran-Codina, A. (2019). </w:t>
      </w:r>
      <w:r w:rsidRPr="00FF31D4">
        <w:rPr>
          <w:rFonts w:ascii="Times New Roman" w:eastAsia="Times New Roman" w:hAnsi="Times New Roman" w:cs="Times New Roman"/>
          <w:lang w:val="en-GB" w:eastAsia="es-ES"/>
        </w:rPr>
        <w:t xml:space="preserve">Determinants of adherence to healthy eating patterns in a population of children and adolescents: evidence on the Mediterranean diet in the city of Mataró (Catalonia, Spain). </w:t>
      </w:r>
      <w:r w:rsidRPr="00FF31D4">
        <w:rPr>
          <w:rFonts w:ascii="Times New Roman" w:eastAsia="Times New Roman" w:hAnsi="Times New Roman" w:cs="Times New Roman"/>
          <w:i/>
          <w:iCs/>
          <w:lang w:eastAsia="es-ES"/>
        </w:rPr>
        <w:t>Nutrients, 11</w:t>
      </w:r>
      <w:r w:rsidRPr="00FF31D4">
        <w:rPr>
          <w:rFonts w:ascii="Times New Roman" w:eastAsia="Times New Roman" w:hAnsi="Times New Roman" w:cs="Times New Roman"/>
          <w:lang w:eastAsia="es-ES"/>
        </w:rPr>
        <w:t>(4), 854.</w:t>
      </w:r>
    </w:p>
    <w:p w14:paraId="2891FB8A"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eastAsia="es-ES"/>
        </w:rPr>
      </w:pPr>
      <w:r w:rsidRPr="00FF31D4">
        <w:rPr>
          <w:rFonts w:ascii="Times New Roman" w:eastAsia="Times New Roman" w:hAnsi="Times New Roman" w:cs="Times New Roman"/>
          <w:lang w:eastAsia="es-ES"/>
        </w:rPr>
        <w:t xml:space="preserve">Atienza, F. L., Moreno, Y., &amp; Balaguer, I. (2000). Análisis de la dimensionalidad de la Escala de Autoestima de Rosenberg en una muestra de adolescentes valencianos. Revista de Psicología Univesitas </w:t>
      </w:r>
      <w:r w:rsidRPr="00FF31D4">
        <w:rPr>
          <w:rFonts w:ascii="Times New Roman" w:eastAsia="Times New Roman" w:hAnsi="Times New Roman" w:cs="Times New Roman"/>
          <w:i/>
          <w:iCs/>
          <w:lang w:eastAsia="es-ES"/>
        </w:rPr>
        <w:t>Tarraconensis, 22</w:t>
      </w:r>
      <w:r w:rsidRPr="00FF31D4">
        <w:rPr>
          <w:rFonts w:ascii="Times New Roman" w:eastAsia="Times New Roman" w:hAnsi="Times New Roman" w:cs="Times New Roman"/>
          <w:lang w:eastAsia="es-ES"/>
        </w:rPr>
        <w:t>, 29-42.</w:t>
      </w:r>
    </w:p>
    <w:p w14:paraId="036B988E"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eastAsia="es-ES"/>
        </w:rPr>
      </w:pPr>
      <w:r w:rsidRPr="00FF31D4">
        <w:rPr>
          <w:rFonts w:ascii="Times New Roman" w:eastAsia="Times New Roman" w:hAnsi="Times New Roman" w:cs="Times New Roman"/>
          <w:lang w:eastAsia="es-ES"/>
        </w:rPr>
        <w:t xml:space="preserve">Aymerich, M., Berra, S., Guillamón, I., Herdman, M., Alonso, J., &amp; Ravens, et al. (2005). Desarrollo de la versión en español del KIDSCREEN: un cuestionario de calidad de vida para la población infantil y adolescente. </w:t>
      </w:r>
      <w:r w:rsidRPr="00FF31D4">
        <w:rPr>
          <w:rFonts w:ascii="Times New Roman" w:eastAsia="Times New Roman" w:hAnsi="Times New Roman" w:cs="Times New Roman"/>
          <w:i/>
          <w:iCs/>
          <w:lang w:eastAsia="es-ES"/>
        </w:rPr>
        <w:t>Gac Sanit, 19</w:t>
      </w:r>
      <w:r w:rsidRPr="00FF31D4">
        <w:rPr>
          <w:rFonts w:ascii="Times New Roman" w:eastAsia="Times New Roman" w:hAnsi="Times New Roman" w:cs="Times New Roman"/>
          <w:lang w:eastAsia="es-ES"/>
        </w:rPr>
        <w:t>(2):93-102. doi:10.1157/13074363</w:t>
      </w:r>
    </w:p>
    <w:p w14:paraId="51C834A2"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eastAsia="es-ES"/>
        </w:rPr>
        <w:t xml:space="preserve">Barr, S. I., DiFrancesco, L., &amp; Fulgoni, V. L. (2014). </w:t>
      </w:r>
      <w:r w:rsidRPr="00FF31D4">
        <w:rPr>
          <w:rFonts w:ascii="Times New Roman" w:eastAsia="Times New Roman" w:hAnsi="Times New Roman" w:cs="Times New Roman"/>
          <w:lang w:val="en-GB" w:eastAsia="es-ES"/>
        </w:rPr>
        <w:t xml:space="preserve">Breakfast consumption is positively associated with nutrient adequacy in Canadian children and adolescents. </w:t>
      </w:r>
      <w:r w:rsidRPr="00FF31D4">
        <w:rPr>
          <w:rFonts w:ascii="Times New Roman" w:eastAsia="Times New Roman" w:hAnsi="Times New Roman" w:cs="Times New Roman"/>
          <w:i/>
          <w:iCs/>
          <w:lang w:val="en-GB" w:eastAsia="es-ES"/>
        </w:rPr>
        <w:t>British Journal of Nutrition, 112</w:t>
      </w:r>
      <w:r w:rsidRPr="00FF31D4">
        <w:rPr>
          <w:rFonts w:ascii="Times New Roman" w:eastAsia="Times New Roman" w:hAnsi="Times New Roman" w:cs="Times New Roman"/>
          <w:lang w:val="en-GB" w:eastAsia="es-ES"/>
        </w:rPr>
        <w:t>(8), 1373-1383.</w:t>
      </w:r>
    </w:p>
    <w:p w14:paraId="08981BC6"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 xml:space="preserve">Belmon, L. S., van Stralen, M. M., Busch, V., Harmsen, I. A., &amp; Chinapaw, M. J. (2019). What are the determinants of children's sleep behavior? A systematic review of longitudinal studies. </w:t>
      </w:r>
      <w:r w:rsidRPr="00FF31D4">
        <w:rPr>
          <w:rFonts w:ascii="Times New Roman" w:eastAsia="Times New Roman" w:hAnsi="Times New Roman" w:cs="Times New Roman"/>
          <w:i/>
          <w:iCs/>
          <w:lang w:val="en-GB" w:eastAsia="es-ES"/>
        </w:rPr>
        <w:t>Sleep medicine reviews, 43</w:t>
      </w:r>
      <w:r w:rsidRPr="00FF31D4">
        <w:rPr>
          <w:rFonts w:ascii="Times New Roman" w:eastAsia="Times New Roman" w:hAnsi="Times New Roman" w:cs="Times New Roman"/>
          <w:lang w:val="en-GB" w:eastAsia="es-ES"/>
        </w:rPr>
        <w:t>, 60-70.</w:t>
      </w:r>
    </w:p>
    <w:p w14:paraId="4E6E2424"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 xml:space="preserve">Beltran-Carrillo, V. J., Devis-Devis, J., Peiro-Velert, C., &amp; Brown, D. H. (2012). When physical activity participation promotes inactivity: Negative experiences of Spanish adolescents in physical education and sport. </w:t>
      </w:r>
      <w:r w:rsidRPr="00FF31D4">
        <w:rPr>
          <w:rFonts w:ascii="Times New Roman" w:eastAsia="Times New Roman" w:hAnsi="Times New Roman" w:cs="Times New Roman"/>
          <w:i/>
          <w:iCs/>
          <w:lang w:val="en-GB" w:eastAsia="es-ES"/>
        </w:rPr>
        <w:t>Youth &amp; Society, 44</w:t>
      </w:r>
      <w:r w:rsidRPr="00FF31D4">
        <w:rPr>
          <w:rFonts w:ascii="Times New Roman" w:eastAsia="Times New Roman" w:hAnsi="Times New Roman" w:cs="Times New Roman"/>
          <w:lang w:val="en-GB" w:eastAsia="es-ES"/>
        </w:rPr>
        <w:t>(1), 3-27.</w:t>
      </w:r>
    </w:p>
    <w:p w14:paraId="726D4F2B"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 xml:space="preserve">Berge, J. M., Miller, J., Watts, A., Larson, N., Loth, K. A., &amp; Neumark-Sztainer, D. (2018). Intergenerational transmission of family meal patterns from adolescence to parenthood: longitudinal associations with parents’ dietary intake, weight-related behaviours and psychosocial well-being. </w:t>
      </w:r>
      <w:r w:rsidRPr="00FF31D4">
        <w:rPr>
          <w:rFonts w:ascii="Times New Roman" w:eastAsia="Times New Roman" w:hAnsi="Times New Roman" w:cs="Times New Roman"/>
          <w:i/>
          <w:iCs/>
          <w:lang w:val="en-GB" w:eastAsia="es-ES"/>
        </w:rPr>
        <w:t>Public health nutrition, 21</w:t>
      </w:r>
      <w:r w:rsidRPr="00FF31D4">
        <w:rPr>
          <w:rFonts w:ascii="Times New Roman" w:eastAsia="Times New Roman" w:hAnsi="Times New Roman" w:cs="Times New Roman"/>
          <w:lang w:val="en-GB" w:eastAsia="es-ES"/>
        </w:rPr>
        <w:t>(2), 299-308.</w:t>
      </w:r>
    </w:p>
    <w:p w14:paraId="66831982"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 xml:space="preserve">Biddle, S. J., Ciaccioni, S., Thomas, G., &amp; Vergeer, I. (2019). Physical activity and mental health in children and adolescents: An updated review of reviews and an analysis of causality. </w:t>
      </w:r>
      <w:r w:rsidRPr="00FF31D4">
        <w:rPr>
          <w:rFonts w:ascii="Times New Roman" w:eastAsia="Times New Roman" w:hAnsi="Times New Roman" w:cs="Times New Roman"/>
          <w:i/>
          <w:iCs/>
          <w:lang w:val="en-GB" w:eastAsia="es-ES"/>
        </w:rPr>
        <w:t>Psychology of Sport and Exercise, 42</w:t>
      </w:r>
      <w:r w:rsidRPr="00FF31D4">
        <w:rPr>
          <w:rFonts w:ascii="Times New Roman" w:eastAsia="Times New Roman" w:hAnsi="Times New Roman" w:cs="Times New Roman"/>
          <w:lang w:val="en-GB" w:eastAsia="es-ES"/>
        </w:rPr>
        <w:t>, 146-155.</w:t>
      </w:r>
    </w:p>
    <w:p w14:paraId="4E7677DA"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 xml:space="preserve">Birkeland, M. S., Melkevik, O., Holsen, I., &amp; Wold, B. (2012). Trajectories of global self-esteem development during adolescence. </w:t>
      </w:r>
      <w:r w:rsidRPr="00FF31D4">
        <w:rPr>
          <w:rFonts w:ascii="Times New Roman" w:eastAsia="Times New Roman" w:hAnsi="Times New Roman" w:cs="Times New Roman"/>
          <w:i/>
          <w:iCs/>
          <w:lang w:val="en-GB" w:eastAsia="es-ES"/>
        </w:rPr>
        <w:t>Journal of adolescence, 35</w:t>
      </w:r>
      <w:r w:rsidRPr="00FF31D4">
        <w:rPr>
          <w:rFonts w:ascii="Times New Roman" w:eastAsia="Times New Roman" w:hAnsi="Times New Roman" w:cs="Times New Roman"/>
          <w:lang w:val="en-GB" w:eastAsia="es-ES"/>
        </w:rPr>
        <w:t>(1), 43-54.</w:t>
      </w:r>
    </w:p>
    <w:p w14:paraId="31E0C80E"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 xml:space="preserve">Bisegger, C., Cloetta, B., Von Bisegger, U., Abel, T., &amp; Ravens-Sieberer, U. (2005). Health-related quality of life: gender differences in childhood and adolescence. </w:t>
      </w:r>
      <w:r w:rsidRPr="00FF31D4">
        <w:rPr>
          <w:rFonts w:ascii="Times New Roman" w:eastAsia="Times New Roman" w:hAnsi="Times New Roman" w:cs="Times New Roman"/>
          <w:i/>
          <w:iCs/>
          <w:lang w:val="en-GB" w:eastAsia="es-ES"/>
        </w:rPr>
        <w:t>Sozial-und Präventivmedizin, 50</w:t>
      </w:r>
      <w:r w:rsidRPr="00FF31D4">
        <w:rPr>
          <w:rFonts w:ascii="Times New Roman" w:eastAsia="Times New Roman" w:hAnsi="Times New Roman" w:cs="Times New Roman"/>
          <w:lang w:val="en-GB" w:eastAsia="es-ES"/>
        </w:rPr>
        <w:t>(5), 281-291.</w:t>
      </w:r>
    </w:p>
    <w:p w14:paraId="17677D1B"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Bolton, K., Kremer, P., Rossthorn, N., Moodie, M., Gibbs, L., Waters, E., Swinburn, B., &amp; de Silva, A. (2014). The effect of gender and age on the association between weight status and health-related quality of life in Australian adolescents</w:t>
      </w:r>
      <w:r w:rsidRPr="00FF31D4">
        <w:rPr>
          <w:rFonts w:ascii="Times New Roman" w:eastAsia="Times New Roman" w:hAnsi="Times New Roman" w:cs="Times New Roman"/>
          <w:i/>
          <w:iCs/>
          <w:lang w:val="en-GB" w:eastAsia="es-ES"/>
        </w:rPr>
        <w:t>. BMC Public Health, 14</w:t>
      </w:r>
      <w:r w:rsidRPr="00FF31D4">
        <w:rPr>
          <w:rFonts w:ascii="Times New Roman" w:eastAsia="Times New Roman" w:hAnsi="Times New Roman" w:cs="Times New Roman"/>
          <w:lang w:val="en-GB" w:eastAsia="es-ES"/>
        </w:rPr>
        <w:t>(1), 1-8.</w:t>
      </w:r>
    </w:p>
    <w:p w14:paraId="78373B3D"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Breinbauer, C., &amp; Maddaleno, M. (2005). </w:t>
      </w:r>
      <w:r w:rsidRPr="00FF31D4">
        <w:rPr>
          <w:rFonts w:ascii="Times New Roman" w:eastAsia="Times New Roman" w:hAnsi="Times New Roman" w:cs="Times New Roman"/>
          <w:i/>
          <w:iCs/>
          <w:lang w:val="en-GB" w:eastAsia="es-ES"/>
        </w:rPr>
        <w:t>Youth: Choices and change: Promoting healthy behaviors in adolescents</w:t>
      </w:r>
      <w:r w:rsidRPr="00FF31D4">
        <w:rPr>
          <w:rFonts w:ascii="Times New Roman" w:eastAsia="Times New Roman" w:hAnsi="Times New Roman" w:cs="Times New Roman"/>
          <w:lang w:val="en-GB" w:eastAsia="es-ES"/>
        </w:rPr>
        <w:t> (No. 594). Pan American Health Org.</w:t>
      </w:r>
    </w:p>
    <w:p w14:paraId="79E88978"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 xml:space="preserve">Bronfenbrenner, U. (1977). Toward an experimental ecology of human development. </w:t>
      </w:r>
      <w:r w:rsidRPr="00FF31D4">
        <w:rPr>
          <w:rFonts w:ascii="Times New Roman" w:eastAsia="Times New Roman" w:hAnsi="Times New Roman" w:cs="Times New Roman"/>
          <w:i/>
          <w:iCs/>
          <w:lang w:val="en-GB" w:eastAsia="es-ES"/>
        </w:rPr>
        <w:t>American psychologist, 32</w:t>
      </w:r>
      <w:r w:rsidRPr="00FF31D4">
        <w:rPr>
          <w:rFonts w:ascii="Times New Roman" w:eastAsia="Times New Roman" w:hAnsi="Times New Roman" w:cs="Times New Roman"/>
          <w:lang w:val="en-GB" w:eastAsia="es-ES"/>
        </w:rPr>
        <w:t>(7), 513.</w:t>
      </w:r>
    </w:p>
    <w:p w14:paraId="68EEB99A"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 xml:space="preserve">Cai, H., Wu, M., Luo, Y. L., &amp; Yang, J. (2014). Implicit self-esteem decreases in adolescence: A cross-sectional study. </w:t>
      </w:r>
      <w:r w:rsidRPr="00FF31D4">
        <w:rPr>
          <w:rFonts w:ascii="Times New Roman" w:eastAsia="Times New Roman" w:hAnsi="Times New Roman" w:cs="Times New Roman"/>
          <w:i/>
          <w:iCs/>
          <w:lang w:val="en-GB" w:eastAsia="es-ES"/>
        </w:rPr>
        <w:t>PloS one, 9</w:t>
      </w:r>
      <w:r w:rsidRPr="00FF31D4">
        <w:rPr>
          <w:rFonts w:ascii="Times New Roman" w:eastAsia="Times New Roman" w:hAnsi="Times New Roman" w:cs="Times New Roman"/>
          <w:lang w:val="en-GB" w:eastAsia="es-ES"/>
        </w:rPr>
        <w:t>(2), e89988.</w:t>
      </w:r>
    </w:p>
    <w:p w14:paraId="29533046"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 xml:space="preserve">Cairney, J., Kwan, M. Y., Velduizen, S., Hay, J., Bray, S. R., &amp; Faught, B. E. (2012). Gender, perceived competence and the enjoyment of physical education in children: a longitudinal examination. </w:t>
      </w:r>
      <w:r w:rsidRPr="00FF31D4">
        <w:rPr>
          <w:rFonts w:ascii="Times New Roman" w:eastAsia="Times New Roman" w:hAnsi="Times New Roman" w:cs="Times New Roman"/>
          <w:i/>
          <w:iCs/>
          <w:lang w:val="en-GB" w:eastAsia="es-ES"/>
        </w:rPr>
        <w:t>International Journal of Behavioral Nutrition and Physical Activity, 9</w:t>
      </w:r>
      <w:r w:rsidRPr="00FF31D4">
        <w:rPr>
          <w:rFonts w:ascii="Times New Roman" w:eastAsia="Times New Roman" w:hAnsi="Times New Roman" w:cs="Times New Roman"/>
          <w:lang w:val="en-GB" w:eastAsia="es-ES"/>
        </w:rPr>
        <w:t>(1), 1-8.</w:t>
      </w:r>
    </w:p>
    <w:p w14:paraId="776FB369"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eastAsia="es-ES"/>
        </w:rPr>
      </w:pPr>
      <w:r w:rsidRPr="00FF31D4">
        <w:rPr>
          <w:rFonts w:ascii="Times New Roman" w:eastAsia="Times New Roman" w:hAnsi="Times New Roman" w:cs="Times New Roman"/>
          <w:lang w:val="en-GB" w:eastAsia="es-ES"/>
        </w:rPr>
        <w:t>Cala, V. C., &amp; Soriano, E. (2014). Health education from an ecological perspective. Adaptation of the Bronfenbrenner model from an experience with adolescents. </w:t>
      </w:r>
      <w:r w:rsidRPr="00FF31D4">
        <w:rPr>
          <w:rFonts w:ascii="Times New Roman" w:eastAsia="Times New Roman" w:hAnsi="Times New Roman" w:cs="Times New Roman"/>
          <w:i/>
          <w:iCs/>
          <w:lang w:eastAsia="es-ES"/>
        </w:rPr>
        <w:t>Procedia-social and behavioral Sciences</w:t>
      </w:r>
      <w:r w:rsidRPr="00FF31D4">
        <w:rPr>
          <w:rFonts w:ascii="Times New Roman" w:eastAsia="Times New Roman" w:hAnsi="Times New Roman" w:cs="Times New Roman"/>
          <w:lang w:eastAsia="es-ES"/>
        </w:rPr>
        <w:t>, </w:t>
      </w:r>
      <w:r w:rsidRPr="00FF31D4">
        <w:rPr>
          <w:rFonts w:ascii="Times New Roman" w:eastAsia="Times New Roman" w:hAnsi="Times New Roman" w:cs="Times New Roman"/>
          <w:i/>
          <w:iCs/>
          <w:lang w:eastAsia="es-ES"/>
        </w:rPr>
        <w:t>132</w:t>
      </w:r>
      <w:r w:rsidRPr="00FF31D4">
        <w:rPr>
          <w:rFonts w:ascii="Times New Roman" w:eastAsia="Times New Roman" w:hAnsi="Times New Roman" w:cs="Times New Roman"/>
          <w:lang w:eastAsia="es-ES"/>
        </w:rPr>
        <w:t>, 49-57.</w:t>
      </w:r>
    </w:p>
    <w:p w14:paraId="1342B603"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eastAsia="es-ES"/>
        </w:rPr>
        <w:t xml:space="preserve">Campos, D., Hernández-Torres, J. J., Agil, A., Comino, M., López, J. C., Macías, V., &amp; Campoy, C. (2016). </w:t>
      </w:r>
      <w:r w:rsidRPr="00FF31D4">
        <w:rPr>
          <w:rFonts w:ascii="Times New Roman" w:eastAsia="Times New Roman" w:hAnsi="Times New Roman" w:cs="Times New Roman"/>
          <w:lang w:val="en-GB" w:eastAsia="es-ES"/>
        </w:rPr>
        <w:t xml:space="preserve">Analysis of food advertising to children on Spanish television: probing exposure to television marketing. </w:t>
      </w:r>
      <w:r w:rsidRPr="00FF31D4">
        <w:rPr>
          <w:rFonts w:ascii="Times New Roman" w:eastAsia="Times New Roman" w:hAnsi="Times New Roman" w:cs="Times New Roman"/>
          <w:i/>
          <w:iCs/>
          <w:lang w:val="en-GB" w:eastAsia="es-ES"/>
        </w:rPr>
        <w:t>Archives of medical science: AMS, 12</w:t>
      </w:r>
      <w:r w:rsidRPr="00FF31D4">
        <w:rPr>
          <w:rFonts w:ascii="Times New Roman" w:eastAsia="Times New Roman" w:hAnsi="Times New Roman" w:cs="Times New Roman"/>
          <w:lang w:val="en-GB" w:eastAsia="es-ES"/>
        </w:rPr>
        <w:t xml:space="preserve">(4), 799. </w:t>
      </w:r>
    </w:p>
    <w:p w14:paraId="014D561A"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 xml:space="preserve">Caprara, G. V., Alessandri, G., Barbaranelli, C., &amp; Vecchione, M. (2013). The longitudinal relations between self-esteem and affective self-regulatory efficacy. </w:t>
      </w:r>
      <w:r w:rsidRPr="00FF31D4">
        <w:rPr>
          <w:rFonts w:ascii="Times New Roman" w:eastAsia="Times New Roman" w:hAnsi="Times New Roman" w:cs="Times New Roman"/>
          <w:i/>
          <w:iCs/>
          <w:lang w:val="en-GB" w:eastAsia="es-ES"/>
        </w:rPr>
        <w:t>Journal of research in personality, 47</w:t>
      </w:r>
      <w:r w:rsidRPr="00FF31D4">
        <w:rPr>
          <w:rFonts w:ascii="Times New Roman" w:eastAsia="Times New Roman" w:hAnsi="Times New Roman" w:cs="Times New Roman"/>
          <w:lang w:val="en-GB" w:eastAsia="es-ES"/>
        </w:rPr>
        <w:t>(6), 859-870.</w:t>
      </w:r>
    </w:p>
    <w:p w14:paraId="0EECE217"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 xml:space="preserve">Carskadon, M. A. (2011). Sleep in adolescents: the perfect storm. </w:t>
      </w:r>
      <w:r w:rsidRPr="00FF31D4">
        <w:rPr>
          <w:rFonts w:ascii="Times New Roman" w:eastAsia="Times New Roman" w:hAnsi="Times New Roman" w:cs="Times New Roman"/>
          <w:i/>
          <w:iCs/>
          <w:lang w:val="en-GB" w:eastAsia="es-ES"/>
        </w:rPr>
        <w:t>Pediatric Clinics, 58</w:t>
      </w:r>
      <w:r w:rsidRPr="00FF31D4">
        <w:rPr>
          <w:rFonts w:ascii="Times New Roman" w:eastAsia="Times New Roman" w:hAnsi="Times New Roman" w:cs="Times New Roman"/>
          <w:lang w:val="en-GB" w:eastAsia="es-ES"/>
        </w:rPr>
        <w:t>(3), 637-647.</w:t>
      </w:r>
    </w:p>
    <w:p w14:paraId="30AA3A24"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 xml:space="preserve">Christoph, M. J., Larson, N. I., Winkler, M. R., Wall, M. M., &amp; Neumark-Sztainer, D. (2019). Longitudinal trajectories and prevalence of meeting dietary guidelines during the transition from adolescence to young adulthood. </w:t>
      </w:r>
      <w:r w:rsidRPr="00FF31D4">
        <w:rPr>
          <w:rFonts w:ascii="Times New Roman" w:eastAsia="Times New Roman" w:hAnsi="Times New Roman" w:cs="Times New Roman"/>
          <w:i/>
          <w:iCs/>
          <w:lang w:val="en-GB" w:eastAsia="es-ES"/>
        </w:rPr>
        <w:t>The American journal of clinical nutrition, 109</w:t>
      </w:r>
      <w:r w:rsidRPr="00FF31D4">
        <w:rPr>
          <w:rFonts w:ascii="Times New Roman" w:eastAsia="Times New Roman" w:hAnsi="Times New Roman" w:cs="Times New Roman"/>
          <w:lang w:val="en-GB" w:eastAsia="es-ES"/>
        </w:rPr>
        <w:t>(3), 656-664.</w:t>
      </w:r>
    </w:p>
    <w:p w14:paraId="0D853562"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 xml:space="preserve">Chung, J. M., Hutteman, R., van Aken, M. A., &amp; Denissen, J. J. (2017). High, low, and in between: Self-esteem development from middle childhood to young adulthood. </w:t>
      </w:r>
      <w:r w:rsidRPr="00FF31D4">
        <w:rPr>
          <w:rFonts w:ascii="Times New Roman" w:eastAsia="Times New Roman" w:hAnsi="Times New Roman" w:cs="Times New Roman"/>
          <w:i/>
          <w:iCs/>
          <w:lang w:val="en-GB" w:eastAsia="es-ES"/>
        </w:rPr>
        <w:t>Journal of Research in Personality, 70</w:t>
      </w:r>
      <w:r w:rsidRPr="00FF31D4">
        <w:rPr>
          <w:rFonts w:ascii="Times New Roman" w:eastAsia="Times New Roman" w:hAnsi="Times New Roman" w:cs="Times New Roman"/>
          <w:lang w:val="en-GB" w:eastAsia="es-ES"/>
        </w:rPr>
        <w:t xml:space="preserve">, 122-133. </w:t>
      </w:r>
    </w:p>
    <w:p w14:paraId="4A5DB892"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Clay, D., Vignoles, V. L., &amp; Dittmar, H. (2005). Body image and self‐esteem among adolescent girls: Testing the influence of sociocultural factors. </w:t>
      </w:r>
      <w:r w:rsidRPr="00FF31D4">
        <w:rPr>
          <w:rFonts w:ascii="Times New Roman" w:eastAsia="Times New Roman" w:hAnsi="Times New Roman" w:cs="Times New Roman"/>
          <w:i/>
          <w:iCs/>
          <w:lang w:val="en-GB" w:eastAsia="es-ES"/>
        </w:rPr>
        <w:t>Journal of research on adolescence</w:t>
      </w:r>
      <w:r w:rsidRPr="00FF31D4">
        <w:rPr>
          <w:rFonts w:ascii="Times New Roman" w:eastAsia="Times New Roman" w:hAnsi="Times New Roman" w:cs="Times New Roman"/>
          <w:lang w:val="en-GB" w:eastAsia="es-ES"/>
        </w:rPr>
        <w:t>, </w:t>
      </w:r>
      <w:r w:rsidRPr="00FF31D4">
        <w:rPr>
          <w:rFonts w:ascii="Times New Roman" w:eastAsia="Times New Roman" w:hAnsi="Times New Roman" w:cs="Times New Roman"/>
          <w:i/>
          <w:iCs/>
          <w:lang w:val="en-GB" w:eastAsia="es-ES"/>
        </w:rPr>
        <w:t>15</w:t>
      </w:r>
      <w:r w:rsidRPr="00FF31D4">
        <w:rPr>
          <w:rFonts w:ascii="Times New Roman" w:eastAsia="Times New Roman" w:hAnsi="Times New Roman" w:cs="Times New Roman"/>
          <w:lang w:val="en-GB" w:eastAsia="es-ES"/>
        </w:rPr>
        <w:t>(4), 451-477.</w:t>
      </w:r>
    </w:p>
    <w:p w14:paraId="087E9192"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 xml:space="preserve">Costigan, S. A., Lubans, D. R., Lonsdale, C., Sanders, T., &amp; del Pozo Cruz, B. (2019). Associations between physical activity intensity and well-being in adolescents. </w:t>
      </w:r>
      <w:r w:rsidRPr="00FF31D4">
        <w:rPr>
          <w:rFonts w:ascii="Times New Roman" w:eastAsia="Times New Roman" w:hAnsi="Times New Roman" w:cs="Times New Roman"/>
          <w:i/>
          <w:iCs/>
          <w:lang w:val="en-GB" w:eastAsia="es-ES"/>
        </w:rPr>
        <w:t>Preventive medicine, 125</w:t>
      </w:r>
      <w:r w:rsidRPr="00FF31D4">
        <w:rPr>
          <w:rFonts w:ascii="Times New Roman" w:eastAsia="Times New Roman" w:hAnsi="Times New Roman" w:cs="Times New Roman"/>
          <w:lang w:val="en-GB" w:eastAsia="es-ES"/>
        </w:rPr>
        <w:t>, 55-61.</w:t>
      </w:r>
    </w:p>
    <w:p w14:paraId="7AA345A2"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 xml:space="preserve">Crone, E. A., &amp; Dahl, R. E. (2012). Understanding adolescence as a period of social–affective engagement and goal flexibility. </w:t>
      </w:r>
      <w:r w:rsidRPr="00FF31D4">
        <w:rPr>
          <w:rFonts w:ascii="Times New Roman" w:eastAsia="Times New Roman" w:hAnsi="Times New Roman" w:cs="Times New Roman"/>
          <w:i/>
          <w:iCs/>
          <w:lang w:val="en-GB" w:eastAsia="es-ES"/>
        </w:rPr>
        <w:t>Nature reviews neuroscience, 13</w:t>
      </w:r>
      <w:r w:rsidRPr="00FF31D4">
        <w:rPr>
          <w:rFonts w:ascii="Times New Roman" w:eastAsia="Times New Roman" w:hAnsi="Times New Roman" w:cs="Times New Roman"/>
          <w:lang w:val="en-GB" w:eastAsia="es-ES"/>
        </w:rPr>
        <w:t>(9), 636-650.</w:t>
      </w:r>
    </w:p>
    <w:p w14:paraId="64B34F83"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Cruz, F., Ramos, E., Lopes, C., &amp; Araújo, J. (2018). Tracking of food and nutrient intake from adolescence into early adulthood</w:t>
      </w:r>
      <w:r w:rsidRPr="00FF31D4">
        <w:rPr>
          <w:rFonts w:ascii="Times New Roman" w:eastAsia="Times New Roman" w:hAnsi="Times New Roman" w:cs="Times New Roman"/>
          <w:i/>
          <w:iCs/>
          <w:lang w:val="en-GB" w:eastAsia="es-ES"/>
        </w:rPr>
        <w:t>. Nutrition, 55</w:t>
      </w:r>
      <w:r w:rsidRPr="00FF31D4">
        <w:rPr>
          <w:rFonts w:ascii="Times New Roman" w:eastAsia="Times New Roman" w:hAnsi="Times New Roman" w:cs="Times New Roman"/>
          <w:lang w:val="en-GB" w:eastAsia="es-ES"/>
        </w:rPr>
        <w:t>, 84-90.</w:t>
      </w:r>
    </w:p>
    <w:p w14:paraId="4DFE3193"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 xml:space="preserve">Culbert, K. M., Racine, S. E., &amp; Klump, K. L. (2015). Research Review: What we have learned about the causes of eating disorders–a synthesis of sociocultural, psychological, and biological research. </w:t>
      </w:r>
      <w:r w:rsidRPr="00FF31D4">
        <w:rPr>
          <w:rFonts w:ascii="Times New Roman" w:eastAsia="Times New Roman" w:hAnsi="Times New Roman" w:cs="Times New Roman"/>
          <w:i/>
          <w:iCs/>
          <w:lang w:val="en-GB" w:eastAsia="es-ES"/>
        </w:rPr>
        <w:t>Journal of Child Psychology and Psychiatry, 56</w:t>
      </w:r>
      <w:r w:rsidRPr="00FF31D4">
        <w:rPr>
          <w:rFonts w:ascii="Times New Roman" w:eastAsia="Times New Roman" w:hAnsi="Times New Roman" w:cs="Times New Roman"/>
          <w:lang w:val="en-GB" w:eastAsia="es-ES"/>
        </w:rPr>
        <w:t xml:space="preserve">(11), 1141-1164. </w:t>
      </w:r>
    </w:p>
    <w:p w14:paraId="2BC0BE34"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 xml:space="preserve">Currie, C., Molcho, M., Boyce, W., Holstein, B., Torsheim, T., &amp; Richter, M. (2008). Researching health inequalities in adolescents: the development of the Health Behaviour in School-Aged Children (HBSC) family affluence scale. </w:t>
      </w:r>
      <w:r w:rsidRPr="00FF31D4">
        <w:rPr>
          <w:rFonts w:ascii="Times New Roman" w:eastAsia="Times New Roman" w:hAnsi="Times New Roman" w:cs="Times New Roman"/>
          <w:i/>
          <w:iCs/>
          <w:lang w:val="en-GB" w:eastAsia="es-ES"/>
        </w:rPr>
        <w:t>Social science &amp; medicine, 66</w:t>
      </w:r>
      <w:r w:rsidRPr="00FF31D4">
        <w:rPr>
          <w:rFonts w:ascii="Times New Roman" w:eastAsia="Times New Roman" w:hAnsi="Times New Roman" w:cs="Times New Roman"/>
          <w:lang w:val="en-GB" w:eastAsia="es-ES"/>
        </w:rPr>
        <w:t>(6), 1429-1436.</w:t>
      </w:r>
    </w:p>
    <w:p w14:paraId="1C4D96A7"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 xml:space="preserve">Dalene, K.E., Anderssen, S.A., Andersen, L.B., Steene-Johannessen, J., Ekelund, U., Hansen, B.H., &amp; Kolle, E.  (2018) Secular and longitudinal physical activity changes in population‐based samples of children and adolescents. </w:t>
      </w:r>
      <w:r w:rsidRPr="00FF31D4">
        <w:rPr>
          <w:rFonts w:ascii="Times New Roman" w:eastAsia="Times New Roman" w:hAnsi="Times New Roman" w:cs="Times New Roman"/>
          <w:i/>
          <w:iCs/>
          <w:lang w:val="en-GB" w:eastAsia="es-ES"/>
        </w:rPr>
        <w:t>Scandinavian journal of medicine &amp; science in sports, 28</w:t>
      </w:r>
      <w:r w:rsidRPr="00FF31D4">
        <w:rPr>
          <w:rFonts w:ascii="Times New Roman" w:eastAsia="Times New Roman" w:hAnsi="Times New Roman" w:cs="Times New Roman"/>
          <w:lang w:val="en-GB" w:eastAsia="es-ES"/>
        </w:rPr>
        <w:t>(1): 161-171.</w:t>
      </w:r>
    </w:p>
    <w:p w14:paraId="67993C43"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 xml:space="preserve">De Baere, S., Philippaerts, R., De Martelaer, K., &amp; Lefevre, J. (2016). Associations between objectively assessed components of physical activity and health-related fitness in 10-to 14-year-old children. </w:t>
      </w:r>
      <w:r w:rsidRPr="00FF31D4">
        <w:rPr>
          <w:rFonts w:ascii="Times New Roman" w:eastAsia="Times New Roman" w:hAnsi="Times New Roman" w:cs="Times New Roman"/>
          <w:i/>
          <w:iCs/>
          <w:lang w:val="en-GB" w:eastAsia="es-ES"/>
        </w:rPr>
        <w:t>Journal of Physical Activity and Health, 13</w:t>
      </w:r>
      <w:r w:rsidRPr="00FF31D4">
        <w:rPr>
          <w:rFonts w:ascii="Times New Roman" w:eastAsia="Times New Roman" w:hAnsi="Times New Roman" w:cs="Times New Roman"/>
          <w:lang w:val="en-GB" w:eastAsia="es-ES"/>
        </w:rPr>
        <w:t xml:space="preserve">(9), 993-1001. </w:t>
      </w:r>
    </w:p>
    <w:p w14:paraId="7CA9CDFF"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eastAsia="es-ES"/>
        </w:rPr>
      </w:pPr>
      <w:r w:rsidRPr="00FF31D4">
        <w:rPr>
          <w:rFonts w:ascii="Times New Roman" w:eastAsia="Times New Roman" w:hAnsi="Times New Roman" w:cs="Times New Roman"/>
          <w:lang w:val="en-GB" w:eastAsia="es-ES"/>
        </w:rPr>
        <w:t xml:space="preserve">De Quel, Ó. M., García, E. F., &amp; Miñano, M. J. C. (2010). </w:t>
      </w:r>
      <w:r w:rsidRPr="00FF31D4">
        <w:rPr>
          <w:rFonts w:ascii="Times New Roman" w:eastAsia="Times New Roman" w:hAnsi="Times New Roman" w:cs="Times New Roman"/>
          <w:lang w:eastAsia="es-ES"/>
        </w:rPr>
        <w:t xml:space="preserve">Percepción de dificultades para la práctica de actividad física en chicas adolescentes y su evolución con la edad. </w:t>
      </w:r>
      <w:r w:rsidRPr="00FF31D4">
        <w:rPr>
          <w:rFonts w:ascii="Times New Roman" w:eastAsia="Times New Roman" w:hAnsi="Times New Roman" w:cs="Times New Roman"/>
          <w:i/>
          <w:iCs/>
          <w:lang w:eastAsia="es-ES"/>
        </w:rPr>
        <w:t xml:space="preserve">Apunts Educación Física y Deportes, </w:t>
      </w:r>
      <w:r w:rsidRPr="00FF31D4">
        <w:rPr>
          <w:rFonts w:ascii="Times New Roman" w:eastAsia="Times New Roman" w:hAnsi="Times New Roman" w:cs="Times New Roman"/>
          <w:lang w:eastAsia="es-ES"/>
        </w:rPr>
        <w:t>99, 92-99.</w:t>
      </w:r>
    </w:p>
    <w:p w14:paraId="1950B2EA"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 xml:space="preserve">DeFina, L. F., Haskell, W. L., Willis, B. L., Barlow, C. E., Finley, C. E., Levine, B. D., &amp; Cooper, K. H. (2015). Physical activity versus cardiorespiratory fitness: two (partly) distinct components of cardiovascular health?. </w:t>
      </w:r>
      <w:r w:rsidRPr="00FF31D4">
        <w:rPr>
          <w:rFonts w:ascii="Times New Roman" w:eastAsia="Times New Roman" w:hAnsi="Times New Roman" w:cs="Times New Roman"/>
          <w:i/>
          <w:iCs/>
          <w:lang w:val="en-GB" w:eastAsia="es-ES"/>
        </w:rPr>
        <w:t>Progress in cardiovascular diseases, 57</w:t>
      </w:r>
      <w:r w:rsidRPr="00FF31D4">
        <w:rPr>
          <w:rFonts w:ascii="Times New Roman" w:eastAsia="Times New Roman" w:hAnsi="Times New Roman" w:cs="Times New Roman"/>
          <w:lang w:val="en-GB" w:eastAsia="es-ES"/>
        </w:rPr>
        <w:t>(4), 324-329.</w:t>
      </w:r>
    </w:p>
    <w:p w14:paraId="47EC777A"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 xml:space="preserve">DiClemente, R.J., Santelli, J.S., &amp; Crosby, R.A. (2009). </w:t>
      </w:r>
      <w:r w:rsidRPr="00FF31D4">
        <w:rPr>
          <w:rFonts w:ascii="Times New Roman" w:eastAsia="Times New Roman" w:hAnsi="Times New Roman" w:cs="Times New Roman"/>
          <w:i/>
          <w:iCs/>
          <w:lang w:val="en-GB" w:eastAsia="es-ES"/>
        </w:rPr>
        <w:t>Adolescent health: Understanding and preventing risk behaviors</w:t>
      </w:r>
      <w:r w:rsidRPr="00FF31D4">
        <w:rPr>
          <w:rFonts w:ascii="Times New Roman" w:eastAsia="Times New Roman" w:hAnsi="Times New Roman" w:cs="Times New Roman"/>
          <w:lang w:val="en-GB" w:eastAsia="es-ES"/>
        </w:rPr>
        <w:t>. 1st ed. San Francisco, CA: John Wiley &amp; Sons.</w:t>
      </w:r>
    </w:p>
    <w:p w14:paraId="55B04D33"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 xml:space="preserve">Dishman, R. K., McIver, K. L., Dowda, M., Saunders, R. P., &amp; Pate, R. R. (2019). Self-efficacy, beliefs, and goals: Moderation of declining physical activity during adolescence. </w:t>
      </w:r>
      <w:r w:rsidRPr="00FF31D4">
        <w:rPr>
          <w:rFonts w:ascii="Times New Roman" w:eastAsia="Times New Roman" w:hAnsi="Times New Roman" w:cs="Times New Roman"/>
          <w:i/>
          <w:iCs/>
          <w:lang w:val="en-GB" w:eastAsia="es-ES"/>
        </w:rPr>
        <w:t>Health Psychology, 38</w:t>
      </w:r>
      <w:r w:rsidRPr="00FF31D4">
        <w:rPr>
          <w:rFonts w:ascii="Times New Roman" w:eastAsia="Times New Roman" w:hAnsi="Times New Roman" w:cs="Times New Roman"/>
          <w:lang w:val="en-GB" w:eastAsia="es-ES"/>
        </w:rPr>
        <w:t>(6), 483.</w:t>
      </w:r>
    </w:p>
    <w:p w14:paraId="678E7B1C"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 xml:space="preserve">Doggui, R., Gallant, F., &amp; Bélanger, M. (2021). Parental control and support for physical activity predict adolescents’ moderate to vigorous physical activity over five years. </w:t>
      </w:r>
      <w:r w:rsidRPr="00FF31D4">
        <w:rPr>
          <w:rFonts w:ascii="Times New Roman" w:eastAsia="Times New Roman" w:hAnsi="Times New Roman" w:cs="Times New Roman"/>
          <w:i/>
          <w:iCs/>
          <w:lang w:val="en-GB" w:eastAsia="es-ES"/>
        </w:rPr>
        <w:t>International Journal of Behavioral Nutrition and Physical Activity, 18</w:t>
      </w:r>
      <w:r w:rsidRPr="00FF31D4">
        <w:rPr>
          <w:rFonts w:ascii="Times New Roman" w:eastAsia="Times New Roman" w:hAnsi="Times New Roman" w:cs="Times New Roman"/>
          <w:lang w:val="en-GB" w:eastAsia="es-ES"/>
        </w:rPr>
        <w:t>(1), 1-10.</w:t>
      </w:r>
    </w:p>
    <w:p w14:paraId="6015DC5A"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Donovan, J. E., Jessor, R., &amp; Costa, F. M. (1991). Adolescent health behavior and conventionality-unconventionality: An extension of problem-behavior therapy. </w:t>
      </w:r>
      <w:r w:rsidRPr="00FF31D4">
        <w:rPr>
          <w:rFonts w:ascii="Times New Roman" w:eastAsia="Times New Roman" w:hAnsi="Times New Roman" w:cs="Times New Roman"/>
          <w:i/>
          <w:iCs/>
          <w:lang w:val="en-GB" w:eastAsia="es-ES"/>
        </w:rPr>
        <w:t>Health Psychology</w:t>
      </w:r>
      <w:r w:rsidRPr="00FF31D4">
        <w:rPr>
          <w:rFonts w:ascii="Times New Roman" w:eastAsia="Times New Roman" w:hAnsi="Times New Roman" w:cs="Times New Roman"/>
          <w:lang w:val="en-GB" w:eastAsia="es-ES"/>
        </w:rPr>
        <w:t>, </w:t>
      </w:r>
      <w:r w:rsidRPr="00FF31D4">
        <w:rPr>
          <w:rFonts w:ascii="Times New Roman" w:eastAsia="Times New Roman" w:hAnsi="Times New Roman" w:cs="Times New Roman"/>
          <w:i/>
          <w:iCs/>
          <w:lang w:val="en-GB" w:eastAsia="es-ES"/>
        </w:rPr>
        <w:t>10</w:t>
      </w:r>
      <w:r w:rsidRPr="00FF31D4">
        <w:rPr>
          <w:rFonts w:ascii="Times New Roman" w:eastAsia="Times New Roman" w:hAnsi="Times New Roman" w:cs="Times New Roman"/>
          <w:lang w:val="en-GB" w:eastAsia="es-ES"/>
        </w:rPr>
        <w:t>(1), 52.</w:t>
      </w:r>
    </w:p>
    <w:p w14:paraId="41B35A36"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 xml:space="preserve">Dumith, S. C., Gigante, D. P., Domingues, M. R., &amp; Kohl III, H. W. (2011). Physical activity change during adolescence: a systematic review and a pooled analysis. </w:t>
      </w:r>
      <w:r w:rsidRPr="00FF31D4">
        <w:rPr>
          <w:rFonts w:ascii="Times New Roman" w:eastAsia="Times New Roman" w:hAnsi="Times New Roman" w:cs="Times New Roman"/>
          <w:i/>
          <w:iCs/>
          <w:lang w:val="en-GB" w:eastAsia="es-ES"/>
        </w:rPr>
        <w:t>International journal of epidemiology, 40</w:t>
      </w:r>
      <w:r w:rsidRPr="00FF31D4">
        <w:rPr>
          <w:rFonts w:ascii="Times New Roman" w:eastAsia="Times New Roman" w:hAnsi="Times New Roman" w:cs="Times New Roman"/>
          <w:lang w:val="en-GB" w:eastAsia="es-ES"/>
        </w:rPr>
        <w:t>(3), 685-698.</w:t>
      </w:r>
    </w:p>
    <w:p w14:paraId="1898AA94"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eastAsia="es-ES"/>
        </w:rPr>
        <w:t xml:space="preserve">Eccles, J. S., Lord, S., &amp; Buchanan, C. M. (2018). </w:t>
      </w:r>
      <w:r w:rsidRPr="00FF31D4">
        <w:rPr>
          <w:rFonts w:ascii="Times New Roman" w:eastAsia="Times New Roman" w:hAnsi="Times New Roman" w:cs="Times New Roman"/>
          <w:i/>
          <w:iCs/>
          <w:lang w:val="en-GB" w:eastAsia="es-ES"/>
        </w:rPr>
        <w:t>School transitions in early adolescence: What are we doing to our young people?</w:t>
      </w:r>
      <w:r w:rsidRPr="00FF31D4">
        <w:rPr>
          <w:rFonts w:ascii="Times New Roman" w:eastAsia="Times New Roman" w:hAnsi="Times New Roman" w:cs="Times New Roman"/>
          <w:lang w:val="en-GB" w:eastAsia="es-ES"/>
        </w:rPr>
        <w:t>. In Transitions through adolescence (pp. 251-284). Psychology Press.</w:t>
      </w:r>
    </w:p>
    <w:p w14:paraId="33D4A4E4"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 xml:space="preserve">Eime, R. M., Harvey, J. T., &amp; Charity, M. J. (2019). Sport drop-out during adolescence: is it real, or an artefact of sampling behaviour?. </w:t>
      </w:r>
      <w:r w:rsidRPr="00FF31D4">
        <w:rPr>
          <w:rFonts w:ascii="Times New Roman" w:eastAsia="Times New Roman" w:hAnsi="Times New Roman" w:cs="Times New Roman"/>
          <w:i/>
          <w:iCs/>
          <w:lang w:val="en-GB" w:eastAsia="es-ES"/>
        </w:rPr>
        <w:t>International Journal of Sport Policy and Politics, 11</w:t>
      </w:r>
      <w:r w:rsidRPr="00FF31D4">
        <w:rPr>
          <w:rFonts w:ascii="Times New Roman" w:eastAsia="Times New Roman" w:hAnsi="Times New Roman" w:cs="Times New Roman"/>
          <w:lang w:val="en-GB" w:eastAsia="es-ES"/>
        </w:rPr>
        <w:t>(4), 715-726.</w:t>
      </w:r>
    </w:p>
    <w:p w14:paraId="7FC69059"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 xml:space="preserve">Erol, R. Y., &amp; Orth, U. (2011). Self-esteem development from age 14 to 30 years: a longitudinal study. </w:t>
      </w:r>
      <w:r w:rsidRPr="00FF31D4">
        <w:rPr>
          <w:rFonts w:ascii="Times New Roman" w:eastAsia="Times New Roman" w:hAnsi="Times New Roman" w:cs="Times New Roman"/>
          <w:i/>
          <w:iCs/>
          <w:lang w:val="en-GB" w:eastAsia="es-ES"/>
        </w:rPr>
        <w:t>Journal of personality and social psychology, 101</w:t>
      </w:r>
      <w:r w:rsidRPr="00FF31D4">
        <w:rPr>
          <w:rFonts w:ascii="Times New Roman" w:eastAsia="Times New Roman" w:hAnsi="Times New Roman" w:cs="Times New Roman"/>
          <w:lang w:val="en-GB" w:eastAsia="es-ES"/>
        </w:rPr>
        <w:t>(3), 607.</w:t>
      </w:r>
    </w:p>
    <w:p w14:paraId="7F9C9825"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 xml:space="preserve">Eschenbeck, H., Kohlmann, C. W., &amp; Lohaus, A. (2007). Gender differences in coping strategies in children and adolescents. </w:t>
      </w:r>
      <w:r w:rsidRPr="00FF31D4">
        <w:rPr>
          <w:rFonts w:ascii="Times New Roman" w:eastAsia="Times New Roman" w:hAnsi="Times New Roman" w:cs="Times New Roman"/>
          <w:i/>
          <w:iCs/>
          <w:lang w:val="en-GB" w:eastAsia="es-ES"/>
        </w:rPr>
        <w:t>Journal of individual differences, 28</w:t>
      </w:r>
      <w:r w:rsidRPr="00FF31D4">
        <w:rPr>
          <w:rFonts w:ascii="Times New Roman" w:eastAsia="Times New Roman" w:hAnsi="Times New Roman" w:cs="Times New Roman"/>
          <w:lang w:val="en-GB" w:eastAsia="es-ES"/>
        </w:rPr>
        <w:t>(1), 18-26.</w:t>
      </w:r>
    </w:p>
    <w:p w14:paraId="3585C059"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 xml:space="preserve">Farooq, A., Martin, A., Janssen, X., Wilson, M. G., Gibson, A. M., Hughes, A., &amp; Reilly, J. J. (2020). Longitudinal changes in moderate‐to‐vigorous‐intensity physical activity in children and adolescents: A systematic review and meta‐analysis. </w:t>
      </w:r>
      <w:r w:rsidRPr="00FF31D4">
        <w:rPr>
          <w:rFonts w:ascii="Times New Roman" w:eastAsia="Times New Roman" w:hAnsi="Times New Roman" w:cs="Times New Roman"/>
          <w:i/>
          <w:iCs/>
          <w:lang w:val="en-GB" w:eastAsia="es-ES"/>
        </w:rPr>
        <w:t>Obesity Reviews, 21</w:t>
      </w:r>
      <w:r w:rsidRPr="00FF31D4">
        <w:rPr>
          <w:rFonts w:ascii="Times New Roman" w:eastAsia="Times New Roman" w:hAnsi="Times New Roman" w:cs="Times New Roman"/>
          <w:lang w:val="en-GB" w:eastAsia="es-ES"/>
        </w:rPr>
        <w:t>(1), e12953.</w:t>
      </w:r>
    </w:p>
    <w:p w14:paraId="6730E860"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 xml:space="preserve">Farooq, M. A., Parkinson, K. N., Adamson, A. J., Pearce, M. S., Reilly, J. K., Hughes, A. R., Janssen, X., Basterfield, L., &amp; Reilly, J. J. (2018). Timing of the decline in physical activity in childhood and adolescence: Gateshead Millennium Cohort Study. </w:t>
      </w:r>
      <w:r w:rsidRPr="00FF31D4">
        <w:rPr>
          <w:rFonts w:ascii="Times New Roman" w:eastAsia="Times New Roman" w:hAnsi="Times New Roman" w:cs="Times New Roman"/>
          <w:i/>
          <w:iCs/>
          <w:lang w:val="en-GB" w:eastAsia="es-ES"/>
        </w:rPr>
        <w:t>British journal of sports medicine, 52</w:t>
      </w:r>
      <w:r w:rsidRPr="00FF31D4">
        <w:rPr>
          <w:rFonts w:ascii="Times New Roman" w:eastAsia="Times New Roman" w:hAnsi="Times New Roman" w:cs="Times New Roman"/>
          <w:lang w:val="en-GB" w:eastAsia="es-ES"/>
        </w:rPr>
        <w:t>(15), 1002-1006.</w:t>
      </w:r>
    </w:p>
    <w:p w14:paraId="5A4FA71B"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eastAsia="es-ES"/>
        </w:rPr>
      </w:pPr>
      <w:r w:rsidRPr="00FF31D4">
        <w:rPr>
          <w:rFonts w:ascii="Times New Roman" w:eastAsia="Times New Roman" w:hAnsi="Times New Roman" w:cs="Times New Roman"/>
          <w:lang w:val="en-GB" w:eastAsia="es-ES"/>
        </w:rPr>
        <w:t xml:space="preserve">Flammer, A., &amp; Alsaker, F. D. (2002). </w:t>
      </w:r>
      <w:r w:rsidRPr="00FF31D4">
        <w:rPr>
          <w:rFonts w:ascii="Times New Roman" w:eastAsia="Times New Roman" w:hAnsi="Times New Roman" w:cs="Times New Roman"/>
          <w:i/>
          <w:iCs/>
          <w:lang w:val="en-GB" w:eastAsia="es-ES"/>
        </w:rPr>
        <w:t>Entwicklungspsychologie der Adoleszenz: die Erschließung innerer und äußerer Welten im Jugendalter</w:t>
      </w:r>
      <w:r w:rsidRPr="00FF31D4">
        <w:rPr>
          <w:rFonts w:ascii="Times New Roman" w:eastAsia="Times New Roman" w:hAnsi="Times New Roman" w:cs="Times New Roman"/>
          <w:lang w:val="en-GB" w:eastAsia="es-ES"/>
        </w:rPr>
        <w:t xml:space="preserve">. </w:t>
      </w:r>
      <w:r w:rsidRPr="00FF31D4">
        <w:rPr>
          <w:rFonts w:ascii="Times New Roman" w:eastAsia="Times New Roman" w:hAnsi="Times New Roman" w:cs="Times New Roman"/>
          <w:lang w:eastAsia="es-ES"/>
        </w:rPr>
        <w:t>Huber.</w:t>
      </w:r>
    </w:p>
    <w:p w14:paraId="3CCA96CB"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eastAsia="es-ES"/>
        </w:rPr>
        <w:t xml:space="preserve">Fonseca-Pedrero, E., Paíno-Piñeiro, M., Lemos-Giráldez, S., Villazón-García, Ú., &amp; Muñiz, J. (2009). </w:t>
      </w:r>
      <w:r w:rsidRPr="00FF31D4">
        <w:rPr>
          <w:rFonts w:ascii="Times New Roman" w:eastAsia="Times New Roman" w:hAnsi="Times New Roman" w:cs="Times New Roman"/>
          <w:lang w:val="en-GB" w:eastAsia="es-ES"/>
        </w:rPr>
        <w:t xml:space="preserve">Validation of the schizotypal personality questionnaire—brief form in adolescents. </w:t>
      </w:r>
      <w:r w:rsidRPr="00FF31D4">
        <w:rPr>
          <w:rFonts w:ascii="Times New Roman" w:eastAsia="Times New Roman" w:hAnsi="Times New Roman" w:cs="Times New Roman"/>
          <w:i/>
          <w:iCs/>
          <w:lang w:val="en-GB" w:eastAsia="es-ES"/>
        </w:rPr>
        <w:t>Schizophrenia research, 111</w:t>
      </w:r>
      <w:r w:rsidRPr="00FF31D4">
        <w:rPr>
          <w:rFonts w:ascii="Times New Roman" w:eastAsia="Times New Roman" w:hAnsi="Times New Roman" w:cs="Times New Roman"/>
          <w:lang w:val="en-GB" w:eastAsia="es-ES"/>
        </w:rPr>
        <w:t xml:space="preserve">(1-3), 53-60. </w:t>
      </w:r>
    </w:p>
    <w:p w14:paraId="4307B75F"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 xml:space="preserve">Foubister, C., Van Sluijs, E. M., Vignoles, A., Wilkinson, P., Wilson, E. C., Croxson, C., Brown, H. E., &amp; Corder, K. (2021). The school policy, social, and physical environment and change in adolescent physical activity: An exploratory analysis using the LASSO. </w:t>
      </w:r>
      <w:r w:rsidRPr="00FF31D4">
        <w:rPr>
          <w:rFonts w:ascii="Times New Roman" w:eastAsia="Times New Roman" w:hAnsi="Times New Roman" w:cs="Times New Roman"/>
          <w:i/>
          <w:iCs/>
          <w:lang w:val="en-GB" w:eastAsia="es-ES"/>
        </w:rPr>
        <w:t>PloS one, 16</w:t>
      </w:r>
      <w:r w:rsidRPr="00FF31D4">
        <w:rPr>
          <w:rFonts w:ascii="Times New Roman" w:eastAsia="Times New Roman" w:hAnsi="Times New Roman" w:cs="Times New Roman"/>
          <w:lang w:val="en-GB" w:eastAsia="es-ES"/>
        </w:rPr>
        <w:t xml:space="preserve">(4), e0249328. </w:t>
      </w:r>
    </w:p>
    <w:p w14:paraId="1A12983F"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 xml:space="preserve">Franco, P., Putois, B., Guyon, A., Raoux, A., Papadopoulou, M., Guignard-Perret, A., Bat-Pitault, F., Harley, S., &amp; Plancoulaine, S. (2020). Sleep during development: sex and gender differences. </w:t>
      </w:r>
      <w:r w:rsidRPr="00FF31D4">
        <w:rPr>
          <w:rFonts w:ascii="Times New Roman" w:eastAsia="Times New Roman" w:hAnsi="Times New Roman" w:cs="Times New Roman"/>
          <w:i/>
          <w:iCs/>
          <w:lang w:val="en-GB" w:eastAsia="es-ES"/>
        </w:rPr>
        <w:t>Sleep Medicine Reviews, 51</w:t>
      </w:r>
      <w:r w:rsidRPr="00FF31D4">
        <w:rPr>
          <w:rFonts w:ascii="Times New Roman" w:eastAsia="Times New Roman" w:hAnsi="Times New Roman" w:cs="Times New Roman"/>
          <w:lang w:val="en-GB" w:eastAsia="es-ES"/>
        </w:rPr>
        <w:t>, 101276.</w:t>
      </w:r>
    </w:p>
    <w:p w14:paraId="56676F78"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 xml:space="preserve">Freire, T., &amp; Ferreira, G. (2018). Health-related quality of life of adolescents: Relations with positive and negative psychological dimensions. </w:t>
      </w:r>
      <w:r w:rsidRPr="00FF31D4">
        <w:rPr>
          <w:rFonts w:ascii="Times New Roman" w:eastAsia="Times New Roman" w:hAnsi="Times New Roman" w:cs="Times New Roman"/>
          <w:i/>
          <w:iCs/>
          <w:lang w:val="en-GB" w:eastAsia="es-ES"/>
        </w:rPr>
        <w:t>Int J Adolesc Youth, 23</w:t>
      </w:r>
      <w:r w:rsidRPr="00FF31D4">
        <w:rPr>
          <w:rFonts w:ascii="Times New Roman" w:eastAsia="Times New Roman" w:hAnsi="Times New Roman" w:cs="Times New Roman"/>
          <w:lang w:val="en-GB" w:eastAsia="es-ES"/>
        </w:rPr>
        <w:t>(1):11-24.</w:t>
      </w:r>
    </w:p>
    <w:p w14:paraId="592C2C7A"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eastAsia="es-ES"/>
        </w:rPr>
      </w:pPr>
      <w:r w:rsidRPr="00FF31D4">
        <w:rPr>
          <w:rFonts w:ascii="Times New Roman" w:eastAsia="Times New Roman" w:hAnsi="Times New Roman" w:cs="Times New Roman"/>
          <w:lang w:val="en-GB" w:eastAsia="es-ES"/>
        </w:rPr>
        <w:t xml:space="preserve">Fu, X., Padilla-Walker, L. M., &amp; Brown, M. N. (2017). Longitudinal relations between adolescents' self-esteem and prosocial behavior toward strangers, friends and family. </w:t>
      </w:r>
      <w:r w:rsidRPr="00FF31D4">
        <w:rPr>
          <w:rFonts w:ascii="Times New Roman" w:eastAsia="Times New Roman" w:hAnsi="Times New Roman" w:cs="Times New Roman"/>
          <w:i/>
          <w:iCs/>
          <w:lang w:eastAsia="es-ES"/>
        </w:rPr>
        <w:t>Journal of Adolescence, 57</w:t>
      </w:r>
      <w:r w:rsidRPr="00FF31D4">
        <w:rPr>
          <w:rFonts w:ascii="Times New Roman" w:eastAsia="Times New Roman" w:hAnsi="Times New Roman" w:cs="Times New Roman"/>
          <w:lang w:eastAsia="es-ES"/>
        </w:rPr>
        <w:t>, 90-98.</w:t>
      </w:r>
    </w:p>
    <w:p w14:paraId="0EB33504"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eastAsia="es-ES"/>
        </w:rPr>
      </w:pPr>
      <w:r w:rsidRPr="00FF31D4">
        <w:rPr>
          <w:rFonts w:ascii="Times New Roman" w:eastAsia="Times New Roman" w:hAnsi="Times New Roman" w:cs="Times New Roman"/>
          <w:lang w:eastAsia="es-ES"/>
        </w:rPr>
        <w:t xml:space="preserve">Gaete, V. (2015). Desarrollo psicosocial del adolescente. </w:t>
      </w:r>
      <w:r w:rsidRPr="00FF31D4">
        <w:rPr>
          <w:rFonts w:ascii="Times New Roman" w:eastAsia="Times New Roman" w:hAnsi="Times New Roman" w:cs="Times New Roman"/>
          <w:i/>
          <w:iCs/>
          <w:lang w:eastAsia="es-ES"/>
        </w:rPr>
        <w:t>Revista chilena de pediatría, 86</w:t>
      </w:r>
      <w:r w:rsidRPr="00FF31D4">
        <w:rPr>
          <w:rFonts w:ascii="Times New Roman" w:eastAsia="Times New Roman" w:hAnsi="Times New Roman" w:cs="Times New Roman"/>
          <w:lang w:eastAsia="es-ES"/>
        </w:rPr>
        <w:t xml:space="preserve">(6), 436-443. </w:t>
      </w:r>
    </w:p>
    <w:p w14:paraId="0C059520"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eastAsia="es-ES"/>
        </w:rPr>
      </w:pPr>
      <w:r w:rsidRPr="00FF31D4">
        <w:rPr>
          <w:rFonts w:ascii="Times New Roman" w:eastAsia="Times New Roman" w:hAnsi="Times New Roman" w:cs="Times New Roman"/>
          <w:lang w:eastAsia="es-ES"/>
        </w:rPr>
        <w:t xml:space="preserve">García-Hermoso, A., Ramírez-Vélez, R., García-Alonso, Y., Alonso-Martínez, A.M., &amp; Izquierdo, M. (2020). </w:t>
      </w:r>
      <w:r w:rsidRPr="00FF31D4">
        <w:rPr>
          <w:rFonts w:ascii="Times New Roman" w:eastAsia="Times New Roman" w:hAnsi="Times New Roman" w:cs="Times New Roman"/>
          <w:lang w:val="en-GB" w:eastAsia="es-ES"/>
        </w:rPr>
        <w:t xml:space="preserve">Association of cardiorespiratory fitness levels during youth with health risk later in life: A systematic review and meta-analysis. </w:t>
      </w:r>
      <w:r w:rsidRPr="00FF31D4">
        <w:rPr>
          <w:rFonts w:ascii="Times New Roman" w:eastAsia="Times New Roman" w:hAnsi="Times New Roman" w:cs="Times New Roman"/>
          <w:i/>
          <w:iCs/>
          <w:lang w:eastAsia="es-ES"/>
        </w:rPr>
        <w:t>JAMA Pediatr, 174</w:t>
      </w:r>
      <w:r w:rsidRPr="00FF31D4">
        <w:rPr>
          <w:rFonts w:ascii="Times New Roman" w:eastAsia="Times New Roman" w:hAnsi="Times New Roman" w:cs="Times New Roman"/>
          <w:lang w:eastAsia="es-ES"/>
        </w:rPr>
        <w:t xml:space="preserve">(10):952-960. </w:t>
      </w:r>
    </w:p>
    <w:p w14:paraId="4D36A8B8"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eastAsia="es-ES"/>
        </w:rPr>
      </w:pPr>
      <w:r w:rsidRPr="00FF31D4">
        <w:rPr>
          <w:rFonts w:ascii="Times New Roman" w:eastAsia="Times New Roman" w:hAnsi="Times New Roman" w:cs="Times New Roman"/>
          <w:lang w:eastAsia="es-ES"/>
        </w:rPr>
        <w:t>Gavidia, V. (2003). La educación para la salud en los manuales escolares españoles. </w:t>
      </w:r>
      <w:r w:rsidRPr="00FF31D4">
        <w:rPr>
          <w:rFonts w:ascii="Times New Roman" w:eastAsia="Times New Roman" w:hAnsi="Times New Roman" w:cs="Times New Roman"/>
          <w:i/>
          <w:iCs/>
          <w:lang w:eastAsia="es-ES"/>
        </w:rPr>
        <w:t>Revista española de salud pública</w:t>
      </w:r>
      <w:r w:rsidRPr="00FF31D4">
        <w:rPr>
          <w:rFonts w:ascii="Times New Roman" w:eastAsia="Times New Roman" w:hAnsi="Times New Roman" w:cs="Times New Roman"/>
          <w:lang w:eastAsia="es-ES"/>
        </w:rPr>
        <w:t>, </w:t>
      </w:r>
      <w:r w:rsidRPr="00FF31D4">
        <w:rPr>
          <w:rFonts w:ascii="Times New Roman" w:eastAsia="Times New Roman" w:hAnsi="Times New Roman" w:cs="Times New Roman"/>
          <w:i/>
          <w:iCs/>
          <w:lang w:eastAsia="es-ES"/>
        </w:rPr>
        <w:t>77</w:t>
      </w:r>
      <w:r w:rsidRPr="00FF31D4">
        <w:rPr>
          <w:rFonts w:ascii="Times New Roman" w:eastAsia="Times New Roman" w:hAnsi="Times New Roman" w:cs="Times New Roman"/>
          <w:lang w:eastAsia="es-ES"/>
        </w:rPr>
        <w:t>(2), 275-285.</w:t>
      </w:r>
    </w:p>
    <w:p w14:paraId="44F3683F"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eastAsia="es-ES"/>
        </w:rPr>
        <w:t xml:space="preserve">Gillison, F., Skevington, S., &amp; Standage, M. (2008). </w:t>
      </w:r>
      <w:r w:rsidRPr="00FF31D4">
        <w:rPr>
          <w:rFonts w:ascii="Times New Roman" w:eastAsia="Times New Roman" w:hAnsi="Times New Roman" w:cs="Times New Roman"/>
          <w:lang w:val="en-GB" w:eastAsia="es-ES"/>
        </w:rPr>
        <w:t xml:space="preserve">Exploring response shift in the quality of life of healthy adolescents over 1 year. </w:t>
      </w:r>
      <w:r w:rsidRPr="00FF31D4">
        <w:rPr>
          <w:rFonts w:ascii="Times New Roman" w:eastAsia="Times New Roman" w:hAnsi="Times New Roman" w:cs="Times New Roman"/>
          <w:i/>
          <w:iCs/>
          <w:lang w:val="en-GB" w:eastAsia="es-ES"/>
        </w:rPr>
        <w:t>Quality of Life Research, 17</w:t>
      </w:r>
      <w:r w:rsidRPr="00FF31D4">
        <w:rPr>
          <w:rFonts w:ascii="Times New Roman" w:eastAsia="Times New Roman" w:hAnsi="Times New Roman" w:cs="Times New Roman"/>
          <w:lang w:val="en-GB" w:eastAsia="es-ES"/>
        </w:rPr>
        <w:t xml:space="preserve">(7), 997–1008. </w:t>
      </w:r>
    </w:p>
    <w:p w14:paraId="48F304B7"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Godfrey, E. B., Santos, C. E., &amp; Burson, E. (2019). For better or worse? System‐justifying beliefs in sixth‐grade predict trajectories of self‐esteem and behavior across early adolescence</w:t>
      </w:r>
      <w:r w:rsidRPr="00FF31D4">
        <w:rPr>
          <w:rFonts w:ascii="Times New Roman" w:eastAsia="Times New Roman" w:hAnsi="Times New Roman" w:cs="Times New Roman"/>
          <w:i/>
          <w:iCs/>
          <w:lang w:val="en-GB" w:eastAsia="es-ES"/>
        </w:rPr>
        <w:t>. Child development, 90</w:t>
      </w:r>
      <w:r w:rsidRPr="00FF31D4">
        <w:rPr>
          <w:rFonts w:ascii="Times New Roman" w:eastAsia="Times New Roman" w:hAnsi="Times New Roman" w:cs="Times New Roman"/>
          <w:lang w:val="en-GB" w:eastAsia="es-ES"/>
        </w:rPr>
        <w:t>(1), 180-195</w:t>
      </w:r>
    </w:p>
    <w:p w14:paraId="2E08B36D"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eastAsia="es-ES"/>
        </w:rPr>
      </w:pPr>
      <w:r w:rsidRPr="00FF31D4">
        <w:rPr>
          <w:rFonts w:ascii="Times New Roman" w:eastAsia="Times New Roman" w:hAnsi="Times New Roman" w:cs="Times New Roman"/>
          <w:lang w:val="en-GB" w:eastAsia="es-ES"/>
        </w:rPr>
        <w:t>Grogan, S. (2021). </w:t>
      </w:r>
      <w:r w:rsidRPr="00FF31D4">
        <w:rPr>
          <w:rFonts w:ascii="Times New Roman" w:eastAsia="Times New Roman" w:hAnsi="Times New Roman" w:cs="Times New Roman"/>
          <w:i/>
          <w:iCs/>
          <w:lang w:val="en-GB" w:eastAsia="es-ES"/>
        </w:rPr>
        <w:t>Body image: Understanding body dissatisfaction in men, women, and children</w:t>
      </w:r>
      <w:r w:rsidRPr="00FF31D4">
        <w:rPr>
          <w:rFonts w:ascii="Times New Roman" w:eastAsia="Times New Roman" w:hAnsi="Times New Roman" w:cs="Times New Roman"/>
          <w:lang w:val="en-GB" w:eastAsia="es-ES"/>
        </w:rPr>
        <w:t xml:space="preserve">. </w:t>
      </w:r>
      <w:r w:rsidRPr="00FF31D4">
        <w:rPr>
          <w:rFonts w:ascii="Times New Roman" w:eastAsia="Times New Roman" w:hAnsi="Times New Roman" w:cs="Times New Roman"/>
          <w:lang w:eastAsia="es-ES"/>
        </w:rPr>
        <w:t>Routledge.</w:t>
      </w:r>
    </w:p>
    <w:p w14:paraId="1ED8395C"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eastAsia="es-ES"/>
        </w:rPr>
      </w:pPr>
      <w:r w:rsidRPr="00FF31D4">
        <w:rPr>
          <w:rFonts w:ascii="Times New Roman" w:eastAsia="Times New Roman" w:hAnsi="Times New Roman" w:cs="Times New Roman"/>
          <w:lang w:eastAsia="es-ES"/>
        </w:rPr>
        <w:t xml:space="preserve">Güemes-Hidalgo, M., Ceñal González-Fierro, M. J., &amp; Hidalgo Vicario, M. I. (2017). Desarrollo durante la adolescencia. Aspectos físicos, psicológicos y sociales. </w:t>
      </w:r>
      <w:r w:rsidRPr="00FF31D4">
        <w:rPr>
          <w:rFonts w:ascii="Times New Roman" w:eastAsia="Times New Roman" w:hAnsi="Times New Roman" w:cs="Times New Roman"/>
          <w:i/>
          <w:iCs/>
          <w:lang w:eastAsia="es-ES"/>
        </w:rPr>
        <w:t>Pediatría integral, 21</w:t>
      </w:r>
      <w:r w:rsidRPr="00FF31D4">
        <w:rPr>
          <w:rFonts w:ascii="Times New Roman" w:eastAsia="Times New Roman" w:hAnsi="Times New Roman" w:cs="Times New Roman"/>
          <w:lang w:eastAsia="es-ES"/>
        </w:rPr>
        <w:t>(4), 233-244.</w:t>
      </w:r>
    </w:p>
    <w:p w14:paraId="681D5350"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 xml:space="preserve">Guthold, R., Stevens, G. A., Riley, L. M., &amp; Bull, F. C. (2020). Global trends in insufficient physical activity among adolescents: a pooled analysis of 298 population-based surveys with 1· 6 million participants. </w:t>
      </w:r>
      <w:r w:rsidRPr="00FF31D4">
        <w:rPr>
          <w:rFonts w:ascii="Times New Roman" w:eastAsia="Times New Roman" w:hAnsi="Times New Roman" w:cs="Times New Roman"/>
          <w:i/>
          <w:iCs/>
          <w:lang w:val="en-GB" w:eastAsia="es-ES"/>
        </w:rPr>
        <w:t>The Lancet Child &amp; Adolescent Health, 4</w:t>
      </w:r>
      <w:r w:rsidRPr="00FF31D4">
        <w:rPr>
          <w:rFonts w:ascii="Times New Roman" w:eastAsia="Times New Roman" w:hAnsi="Times New Roman" w:cs="Times New Roman"/>
          <w:lang w:val="en-GB" w:eastAsia="es-ES"/>
        </w:rPr>
        <w:t>(1), 23-35.</w:t>
      </w:r>
    </w:p>
    <w:p w14:paraId="48121C8C"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 xml:space="preserve">Hampel, P., &amp; Petermann, F. (2005). Age and gender effects on coping in children and adolescents. </w:t>
      </w:r>
      <w:r w:rsidRPr="00FF31D4">
        <w:rPr>
          <w:rFonts w:ascii="Times New Roman" w:eastAsia="Times New Roman" w:hAnsi="Times New Roman" w:cs="Times New Roman"/>
          <w:i/>
          <w:iCs/>
          <w:lang w:val="en-GB" w:eastAsia="es-ES"/>
        </w:rPr>
        <w:t>Journal of youth and adolescence, 34</w:t>
      </w:r>
      <w:r w:rsidRPr="00FF31D4">
        <w:rPr>
          <w:rFonts w:ascii="Times New Roman" w:eastAsia="Times New Roman" w:hAnsi="Times New Roman" w:cs="Times New Roman"/>
          <w:lang w:val="en-GB" w:eastAsia="es-ES"/>
        </w:rPr>
        <w:t>(2), 73-83.</w:t>
      </w:r>
    </w:p>
    <w:p w14:paraId="79DE03B1"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eastAsia="es-ES"/>
        </w:rPr>
      </w:pPr>
      <w:r w:rsidRPr="00FF31D4">
        <w:rPr>
          <w:rFonts w:ascii="Times New Roman" w:eastAsia="Times New Roman" w:hAnsi="Times New Roman" w:cs="Times New Roman"/>
          <w:lang w:val="en-GB" w:eastAsia="es-ES"/>
        </w:rPr>
        <w:t xml:space="preserve">Harris, K.M., Halpern, C.T., Whitsel, E.A., Hussey, J.M., Killeya-Jones, L.A., Tabor, J., et al. (2019). Cohort profile: The national longitudinal study of adolescent to adult health (Add health). </w:t>
      </w:r>
      <w:r w:rsidRPr="00FF31D4">
        <w:rPr>
          <w:rFonts w:ascii="Times New Roman" w:eastAsia="Times New Roman" w:hAnsi="Times New Roman" w:cs="Times New Roman"/>
          <w:i/>
          <w:iCs/>
          <w:lang w:eastAsia="es-ES"/>
        </w:rPr>
        <w:t>Int J Epidemiol, 48</w:t>
      </w:r>
      <w:r w:rsidRPr="00FF31D4">
        <w:rPr>
          <w:rFonts w:ascii="Times New Roman" w:eastAsia="Times New Roman" w:hAnsi="Times New Roman" w:cs="Times New Roman"/>
          <w:lang w:eastAsia="es-ES"/>
        </w:rPr>
        <w:t xml:space="preserve">(5):1415-1415. </w:t>
      </w:r>
    </w:p>
    <w:p w14:paraId="55409F86"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eastAsia="es-ES"/>
        </w:rPr>
        <w:t xml:space="preserve">Hassan, B. K., Cunha, D. B., da Veiga, G. V., Pereira, R. A., &amp; Sichieri, R. (2018). </w:t>
      </w:r>
      <w:r w:rsidRPr="00FF31D4">
        <w:rPr>
          <w:rFonts w:ascii="Times New Roman" w:eastAsia="Times New Roman" w:hAnsi="Times New Roman" w:cs="Times New Roman"/>
          <w:lang w:val="en-GB" w:eastAsia="es-ES"/>
        </w:rPr>
        <w:t xml:space="preserve">Changes in breakfast frequency and composition during adolescence: The Adolescent Nutritional Assessment Longitudinal Study, a cohort from Brazil. </w:t>
      </w:r>
      <w:r w:rsidRPr="00FF31D4">
        <w:rPr>
          <w:rFonts w:ascii="Times New Roman" w:eastAsia="Times New Roman" w:hAnsi="Times New Roman" w:cs="Times New Roman"/>
          <w:i/>
          <w:iCs/>
          <w:lang w:val="en-GB" w:eastAsia="es-ES"/>
        </w:rPr>
        <w:t>PloS one, 13</w:t>
      </w:r>
      <w:r w:rsidRPr="00FF31D4">
        <w:rPr>
          <w:rFonts w:ascii="Times New Roman" w:eastAsia="Times New Roman" w:hAnsi="Times New Roman" w:cs="Times New Roman"/>
          <w:lang w:val="en-GB" w:eastAsia="es-ES"/>
        </w:rPr>
        <w:t>(7), e0200587.</w:t>
      </w:r>
    </w:p>
    <w:p w14:paraId="2B34CC32"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 xml:space="preserve">Hearst, M. O., Shanafelt, A., Wang, Q., Leduc, R., &amp; Nanney, M. S. (2016). Barriers, benefits, and behaviors related to breakfast consumption among rural adolescents. </w:t>
      </w:r>
      <w:r w:rsidRPr="00FF31D4">
        <w:rPr>
          <w:rFonts w:ascii="Times New Roman" w:eastAsia="Times New Roman" w:hAnsi="Times New Roman" w:cs="Times New Roman"/>
          <w:i/>
          <w:iCs/>
          <w:lang w:val="en-GB" w:eastAsia="es-ES"/>
        </w:rPr>
        <w:t>Journal of School Health, 86</w:t>
      </w:r>
      <w:r w:rsidRPr="00FF31D4">
        <w:rPr>
          <w:rFonts w:ascii="Times New Roman" w:eastAsia="Times New Roman" w:hAnsi="Times New Roman" w:cs="Times New Roman"/>
          <w:lang w:val="en-GB" w:eastAsia="es-ES"/>
        </w:rPr>
        <w:t xml:space="preserve">(3), 187-194. </w:t>
      </w:r>
    </w:p>
    <w:p w14:paraId="238A5EF3"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 xml:space="preserve">Helwig, N. E., &amp; Ruprecht, M. R. (2017). Age, gender, and self-esteem: A sociocultural look through a nonparametric lens. </w:t>
      </w:r>
      <w:r w:rsidRPr="00FF31D4">
        <w:rPr>
          <w:rFonts w:ascii="Times New Roman" w:eastAsia="Times New Roman" w:hAnsi="Times New Roman" w:cs="Times New Roman"/>
          <w:i/>
          <w:iCs/>
          <w:lang w:val="en-GB" w:eastAsia="es-ES"/>
        </w:rPr>
        <w:t>Archives of Scientific Psychology, 5</w:t>
      </w:r>
      <w:r w:rsidRPr="00FF31D4">
        <w:rPr>
          <w:rFonts w:ascii="Times New Roman" w:eastAsia="Times New Roman" w:hAnsi="Times New Roman" w:cs="Times New Roman"/>
          <w:lang w:val="en-GB" w:eastAsia="es-ES"/>
        </w:rPr>
        <w:t>(1), 19.</w:t>
      </w:r>
    </w:p>
    <w:p w14:paraId="0E696061"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 xml:space="preserve">Hinnig, P. D. F., Monteiro, J. S., De Assis, M. A. A., Levy, R. B., Peres, M. A., Perazi, F. M., ... &amp; Canto, G. D. L. (2018). Dietary patterns of children and adolescents from high, medium and low human development countries and associated socioeconomic factors: a systematic review. </w:t>
      </w:r>
      <w:r w:rsidRPr="00FF31D4">
        <w:rPr>
          <w:rFonts w:ascii="Times New Roman" w:eastAsia="Times New Roman" w:hAnsi="Times New Roman" w:cs="Times New Roman"/>
          <w:i/>
          <w:iCs/>
          <w:lang w:val="en-GB" w:eastAsia="es-ES"/>
        </w:rPr>
        <w:t>Nutrients, 10</w:t>
      </w:r>
      <w:r w:rsidRPr="00FF31D4">
        <w:rPr>
          <w:rFonts w:ascii="Times New Roman" w:eastAsia="Times New Roman" w:hAnsi="Times New Roman" w:cs="Times New Roman"/>
          <w:lang w:val="en-GB" w:eastAsia="es-ES"/>
        </w:rPr>
        <w:t>(4), 436.</w:t>
      </w:r>
    </w:p>
    <w:p w14:paraId="7BA32361"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 xml:space="preserve">Huang, C. (2010). Mean-level change in self-esteem from childhood through adulthood: Meta-analysis of longitudinal studies. </w:t>
      </w:r>
      <w:r w:rsidRPr="00FF31D4">
        <w:rPr>
          <w:rFonts w:ascii="Times New Roman" w:eastAsia="Times New Roman" w:hAnsi="Times New Roman" w:cs="Times New Roman"/>
          <w:i/>
          <w:iCs/>
          <w:lang w:val="en-GB" w:eastAsia="es-ES"/>
        </w:rPr>
        <w:t>Review of General Psychology, 14</w:t>
      </w:r>
      <w:r w:rsidRPr="00FF31D4">
        <w:rPr>
          <w:rFonts w:ascii="Times New Roman" w:eastAsia="Times New Roman" w:hAnsi="Times New Roman" w:cs="Times New Roman"/>
          <w:lang w:val="en-GB" w:eastAsia="es-ES"/>
        </w:rPr>
        <w:t>(3), 251-260.</w:t>
      </w:r>
    </w:p>
    <w:p w14:paraId="3C913EA5"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Inchley, J., Currie, D., Budisavljevic, S., Torsheim, T., Jåstad, A., Cosma, A., Kelly, C. Arnarsson, A. M., &amp; Samdal, O. (2020</w:t>
      </w:r>
      <w:r w:rsidRPr="00FF31D4">
        <w:rPr>
          <w:rFonts w:ascii="Times New Roman" w:eastAsia="Times New Roman" w:hAnsi="Times New Roman" w:cs="Times New Roman"/>
          <w:i/>
          <w:iCs/>
          <w:lang w:val="en-GB" w:eastAsia="es-ES"/>
        </w:rPr>
        <w:t>). Spotlight on adolescent health and well-being. Findings from the 2017/2018 Health Behaviour in School-aged Children (HBSC) survey in Europe and Canada. International report</w:t>
      </w:r>
      <w:r w:rsidRPr="00FF31D4">
        <w:rPr>
          <w:rFonts w:ascii="Times New Roman" w:eastAsia="Times New Roman" w:hAnsi="Times New Roman" w:cs="Times New Roman"/>
          <w:lang w:val="en-GB" w:eastAsia="es-ES"/>
        </w:rPr>
        <w:t>. Copenhagen, Denmark: WHO Regional Office for Europe.</w:t>
      </w:r>
    </w:p>
    <w:p w14:paraId="2B1D03E7"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 xml:space="preserve">Jackson, S., &amp; Goossens, L. (2016). </w:t>
      </w:r>
      <w:r w:rsidRPr="00FF31D4">
        <w:rPr>
          <w:rFonts w:ascii="Times New Roman" w:eastAsia="Times New Roman" w:hAnsi="Times New Roman" w:cs="Times New Roman"/>
          <w:i/>
          <w:iCs/>
          <w:lang w:val="en-GB" w:eastAsia="es-ES"/>
        </w:rPr>
        <w:t>Handbook of Adolescent Development</w:t>
      </w:r>
      <w:r w:rsidRPr="00FF31D4">
        <w:rPr>
          <w:rFonts w:ascii="Times New Roman" w:eastAsia="Times New Roman" w:hAnsi="Times New Roman" w:cs="Times New Roman"/>
          <w:lang w:val="en-GB" w:eastAsia="es-ES"/>
        </w:rPr>
        <w:t>. 1st ed. New York, NY: Psychology Press.</w:t>
      </w:r>
    </w:p>
    <w:p w14:paraId="132B8518"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eastAsia="es-ES"/>
        </w:rPr>
        <w:t xml:space="preserve">Jankauskiene, R., Baceviciene, M., Pajaujiene, S., &amp; Badau, D. (2019). </w:t>
      </w:r>
      <w:r w:rsidRPr="00FF31D4">
        <w:rPr>
          <w:rFonts w:ascii="Times New Roman" w:eastAsia="Times New Roman" w:hAnsi="Times New Roman" w:cs="Times New Roman"/>
          <w:lang w:val="en-GB" w:eastAsia="es-ES"/>
        </w:rPr>
        <w:t>Are adolescent body image concerns associated with health-compromising physical activity Behaviours?. </w:t>
      </w:r>
      <w:r w:rsidRPr="00FF31D4">
        <w:rPr>
          <w:rFonts w:ascii="Times New Roman" w:eastAsia="Times New Roman" w:hAnsi="Times New Roman" w:cs="Times New Roman"/>
          <w:i/>
          <w:iCs/>
          <w:lang w:val="en-GB" w:eastAsia="es-ES"/>
        </w:rPr>
        <w:t>International journal of environmental research and public health</w:t>
      </w:r>
      <w:r w:rsidRPr="00FF31D4">
        <w:rPr>
          <w:rFonts w:ascii="Times New Roman" w:eastAsia="Times New Roman" w:hAnsi="Times New Roman" w:cs="Times New Roman"/>
          <w:lang w:val="en-GB" w:eastAsia="es-ES"/>
        </w:rPr>
        <w:t>, </w:t>
      </w:r>
      <w:r w:rsidRPr="00FF31D4">
        <w:rPr>
          <w:rFonts w:ascii="Times New Roman" w:eastAsia="Times New Roman" w:hAnsi="Times New Roman" w:cs="Times New Roman"/>
          <w:i/>
          <w:iCs/>
          <w:lang w:val="en-GB" w:eastAsia="es-ES"/>
        </w:rPr>
        <w:t>16</w:t>
      </w:r>
      <w:r w:rsidRPr="00FF31D4">
        <w:rPr>
          <w:rFonts w:ascii="Times New Roman" w:eastAsia="Times New Roman" w:hAnsi="Times New Roman" w:cs="Times New Roman"/>
          <w:lang w:val="en-GB" w:eastAsia="es-ES"/>
        </w:rPr>
        <w:t>(7), 1225.</w:t>
      </w:r>
    </w:p>
    <w:p w14:paraId="079DAAD6"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eastAsia="es-ES"/>
        </w:rPr>
      </w:pPr>
      <w:r w:rsidRPr="00FF31D4">
        <w:rPr>
          <w:rFonts w:ascii="Times New Roman" w:eastAsia="Times New Roman" w:hAnsi="Times New Roman" w:cs="Times New Roman"/>
          <w:lang w:val="en-GB" w:eastAsia="es-ES"/>
        </w:rPr>
        <w:t xml:space="preserve">Jiménez, M., &amp; Ovejero, A. (2003). </w:t>
      </w:r>
      <w:r w:rsidRPr="00FF31D4">
        <w:rPr>
          <w:rFonts w:ascii="Times New Roman" w:eastAsia="Times New Roman" w:hAnsi="Times New Roman" w:cs="Times New Roman"/>
          <w:lang w:eastAsia="es-ES"/>
        </w:rPr>
        <w:t>Actitudes ante el consumo de sustancias psicoactivas y mentalidades del usuario en adolescentes de Secundaria. </w:t>
      </w:r>
      <w:r w:rsidRPr="00FF31D4">
        <w:rPr>
          <w:rFonts w:ascii="Times New Roman" w:eastAsia="Times New Roman" w:hAnsi="Times New Roman" w:cs="Times New Roman"/>
          <w:i/>
          <w:iCs/>
          <w:lang w:eastAsia="es-ES"/>
        </w:rPr>
        <w:t>Entemu</w:t>
      </w:r>
      <w:r w:rsidRPr="00FF31D4">
        <w:rPr>
          <w:rFonts w:ascii="Times New Roman" w:eastAsia="Times New Roman" w:hAnsi="Times New Roman" w:cs="Times New Roman"/>
          <w:lang w:eastAsia="es-ES"/>
        </w:rPr>
        <w:t>, </w:t>
      </w:r>
      <w:r w:rsidRPr="00FF31D4">
        <w:rPr>
          <w:rFonts w:ascii="Times New Roman" w:eastAsia="Times New Roman" w:hAnsi="Times New Roman" w:cs="Times New Roman"/>
          <w:i/>
          <w:iCs/>
          <w:lang w:eastAsia="es-ES"/>
        </w:rPr>
        <w:t>15</w:t>
      </w:r>
      <w:r w:rsidRPr="00FF31D4">
        <w:rPr>
          <w:rFonts w:ascii="Times New Roman" w:eastAsia="Times New Roman" w:hAnsi="Times New Roman" w:cs="Times New Roman"/>
          <w:lang w:eastAsia="es-ES"/>
        </w:rPr>
        <w:t>, 151-175.</w:t>
      </w:r>
    </w:p>
    <w:p w14:paraId="46AF814C"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eastAsia="es-ES"/>
        </w:rPr>
        <w:t xml:space="preserve">Kärmeniemi, M., Lankila, T., Ikäheimo, T., Koivumaa-Honkanen, H., &amp; Korpelainen, R. (2018). </w:t>
      </w:r>
      <w:r w:rsidRPr="00FF31D4">
        <w:rPr>
          <w:rFonts w:ascii="Times New Roman" w:eastAsia="Times New Roman" w:hAnsi="Times New Roman" w:cs="Times New Roman"/>
          <w:lang w:val="en-GB" w:eastAsia="es-ES"/>
        </w:rPr>
        <w:t xml:space="preserve">The built environment as a determinant of physical activity: a systematic review of longitudinal studies and natural experiments. </w:t>
      </w:r>
      <w:r w:rsidRPr="00FF31D4">
        <w:rPr>
          <w:rFonts w:ascii="Times New Roman" w:eastAsia="Times New Roman" w:hAnsi="Times New Roman" w:cs="Times New Roman"/>
          <w:i/>
          <w:iCs/>
          <w:lang w:val="en-GB" w:eastAsia="es-ES"/>
        </w:rPr>
        <w:t>Annals of behavioral medicine, 52</w:t>
      </w:r>
      <w:r w:rsidRPr="00FF31D4">
        <w:rPr>
          <w:rFonts w:ascii="Times New Roman" w:eastAsia="Times New Roman" w:hAnsi="Times New Roman" w:cs="Times New Roman"/>
          <w:lang w:val="en-GB" w:eastAsia="es-ES"/>
        </w:rPr>
        <w:t>(3), 239-251.</w:t>
      </w:r>
    </w:p>
    <w:p w14:paraId="56002B3B"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 xml:space="preserve">Kaur, H., &amp; Bhoday, H. S. (2017). Changing Adolescent Sleep Patterns: Factors Affecting them and the Related Problems. </w:t>
      </w:r>
      <w:r w:rsidRPr="00FF31D4">
        <w:rPr>
          <w:rFonts w:ascii="Times New Roman" w:eastAsia="Times New Roman" w:hAnsi="Times New Roman" w:cs="Times New Roman"/>
          <w:i/>
          <w:iCs/>
          <w:lang w:val="en-GB" w:eastAsia="es-ES"/>
        </w:rPr>
        <w:t>The Journal of the Association of Physicians of India, 65</w:t>
      </w:r>
      <w:r w:rsidRPr="00FF31D4">
        <w:rPr>
          <w:rFonts w:ascii="Times New Roman" w:eastAsia="Times New Roman" w:hAnsi="Times New Roman" w:cs="Times New Roman"/>
          <w:lang w:val="en-GB" w:eastAsia="es-ES"/>
        </w:rPr>
        <w:t>(3), 73-77.</w:t>
      </w:r>
    </w:p>
    <w:p w14:paraId="5F87627B"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 xml:space="preserve">Knox, E., &amp; Muros, J. J. (2017). Association of lifestyle behaviours with self-esteem through health-related quality of life in Spanish adolescents. </w:t>
      </w:r>
      <w:r w:rsidRPr="00FF31D4">
        <w:rPr>
          <w:rFonts w:ascii="Times New Roman" w:eastAsia="Times New Roman" w:hAnsi="Times New Roman" w:cs="Times New Roman"/>
          <w:i/>
          <w:iCs/>
          <w:lang w:val="en-GB" w:eastAsia="es-ES"/>
        </w:rPr>
        <w:t>European journal of pediatrics, 176</w:t>
      </w:r>
      <w:r w:rsidRPr="00FF31D4">
        <w:rPr>
          <w:rFonts w:ascii="Times New Roman" w:eastAsia="Times New Roman" w:hAnsi="Times New Roman" w:cs="Times New Roman"/>
          <w:lang w:val="en-GB" w:eastAsia="es-ES"/>
        </w:rPr>
        <w:t>(5), 621-628.</w:t>
      </w:r>
    </w:p>
    <w:p w14:paraId="67D9DFAC"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Koehn, S., Gillison, F., Standage, M., &amp; Bailey, J. (2016). Life transitions and relevance of healthy living in late adolescence. </w:t>
      </w:r>
      <w:r w:rsidRPr="00FF31D4">
        <w:rPr>
          <w:rFonts w:ascii="Times New Roman" w:eastAsia="Times New Roman" w:hAnsi="Times New Roman" w:cs="Times New Roman"/>
          <w:i/>
          <w:iCs/>
          <w:lang w:val="en-GB" w:eastAsia="es-ES"/>
        </w:rPr>
        <w:t>Journal of health psychology</w:t>
      </w:r>
      <w:r w:rsidRPr="00FF31D4">
        <w:rPr>
          <w:rFonts w:ascii="Times New Roman" w:eastAsia="Times New Roman" w:hAnsi="Times New Roman" w:cs="Times New Roman"/>
          <w:lang w:val="en-GB" w:eastAsia="es-ES"/>
        </w:rPr>
        <w:t>, </w:t>
      </w:r>
      <w:r w:rsidRPr="00FF31D4">
        <w:rPr>
          <w:rFonts w:ascii="Times New Roman" w:eastAsia="Times New Roman" w:hAnsi="Times New Roman" w:cs="Times New Roman"/>
          <w:i/>
          <w:iCs/>
          <w:lang w:val="en-GB" w:eastAsia="es-ES"/>
        </w:rPr>
        <w:t>21</w:t>
      </w:r>
      <w:r w:rsidRPr="00FF31D4">
        <w:rPr>
          <w:rFonts w:ascii="Times New Roman" w:eastAsia="Times New Roman" w:hAnsi="Times New Roman" w:cs="Times New Roman"/>
          <w:lang w:val="en-GB" w:eastAsia="es-ES"/>
        </w:rPr>
        <w:t>(6), 1085-1095.</w:t>
      </w:r>
    </w:p>
    <w:p w14:paraId="2C66C544"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 xml:space="preserve">Krauss, S., Orth, U., &amp; Robins, R. W. (2020). Family environment and self-esteem development: A longitudinal study from age 10 to 16. </w:t>
      </w:r>
      <w:r w:rsidRPr="00FF31D4">
        <w:rPr>
          <w:rFonts w:ascii="Times New Roman" w:eastAsia="Times New Roman" w:hAnsi="Times New Roman" w:cs="Times New Roman"/>
          <w:i/>
          <w:iCs/>
          <w:lang w:val="en-GB" w:eastAsia="es-ES"/>
        </w:rPr>
        <w:t>Journal of personality and social psychology, 119</w:t>
      </w:r>
      <w:r w:rsidRPr="00FF31D4">
        <w:rPr>
          <w:rFonts w:ascii="Times New Roman" w:eastAsia="Times New Roman" w:hAnsi="Times New Roman" w:cs="Times New Roman"/>
          <w:lang w:val="en-GB" w:eastAsia="es-ES"/>
        </w:rPr>
        <w:t>(2), 457.</w:t>
      </w:r>
    </w:p>
    <w:p w14:paraId="7DAA9E3C"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 xml:space="preserve">Krauss, S., Orth, U., &amp; Robins, R. W. (2020). Family environment and self-esteem development: A longitudinal study from age 10 to 16. </w:t>
      </w:r>
      <w:r w:rsidRPr="00FF31D4">
        <w:rPr>
          <w:rFonts w:ascii="Times New Roman" w:eastAsia="Times New Roman" w:hAnsi="Times New Roman" w:cs="Times New Roman"/>
          <w:i/>
          <w:iCs/>
          <w:lang w:val="en-GB" w:eastAsia="es-ES"/>
        </w:rPr>
        <w:t>Journal of personality and social psychology, 119</w:t>
      </w:r>
      <w:r w:rsidRPr="00FF31D4">
        <w:rPr>
          <w:rFonts w:ascii="Times New Roman" w:eastAsia="Times New Roman" w:hAnsi="Times New Roman" w:cs="Times New Roman"/>
          <w:lang w:val="en-GB" w:eastAsia="es-ES"/>
        </w:rPr>
        <w:t>(2), 457.</w:t>
      </w:r>
    </w:p>
    <w:p w14:paraId="15857084"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 xml:space="preserve">Lau, E. Y., Faulkner, G., Qian, W., &amp; Leatherdale, S. T. (2016). Longitudinal associations of parental and peer influences with physical activity during adolescence: findings from the COMPASS study. </w:t>
      </w:r>
      <w:r w:rsidRPr="00FF31D4">
        <w:rPr>
          <w:rFonts w:ascii="Times New Roman" w:eastAsia="Times New Roman" w:hAnsi="Times New Roman" w:cs="Times New Roman"/>
          <w:i/>
          <w:iCs/>
          <w:lang w:val="en-GB" w:eastAsia="es-ES"/>
        </w:rPr>
        <w:t>Health promotion and chronic disease prevention in Canada: research, policy and practice, 36</w:t>
      </w:r>
      <w:r w:rsidRPr="00FF31D4">
        <w:rPr>
          <w:rFonts w:ascii="Times New Roman" w:eastAsia="Times New Roman" w:hAnsi="Times New Roman" w:cs="Times New Roman"/>
          <w:lang w:val="en-GB" w:eastAsia="es-ES"/>
        </w:rPr>
        <w:t>(11), 235.</w:t>
      </w:r>
    </w:p>
    <w:p w14:paraId="3B3A303A"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 xml:space="preserve">Lawrence, E.M., Mollborn, S., &amp; Hummer, R.A. (2017). Health lifestyles across the transition to adulthood: Implications for health. </w:t>
      </w:r>
      <w:r w:rsidRPr="00FF31D4">
        <w:rPr>
          <w:rFonts w:ascii="Times New Roman" w:eastAsia="Times New Roman" w:hAnsi="Times New Roman" w:cs="Times New Roman"/>
          <w:i/>
          <w:iCs/>
          <w:lang w:val="en-GB" w:eastAsia="es-ES"/>
        </w:rPr>
        <w:t>Soc Sci Med, 193</w:t>
      </w:r>
      <w:r w:rsidRPr="00FF31D4">
        <w:rPr>
          <w:rFonts w:ascii="Times New Roman" w:eastAsia="Times New Roman" w:hAnsi="Times New Roman" w:cs="Times New Roman"/>
          <w:lang w:val="en-GB" w:eastAsia="es-ES"/>
        </w:rPr>
        <w:t xml:space="preserve">, 23-32. </w:t>
      </w:r>
    </w:p>
    <w:p w14:paraId="4258E45B"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 xml:space="preserve">Leger, L. A., Mercier, D., Gadoury, C., Lambert, J. (1988). The multistage 20 metre shuttle run test for aerobic fitness. </w:t>
      </w:r>
      <w:r w:rsidRPr="00FF31D4">
        <w:rPr>
          <w:rFonts w:ascii="Times New Roman" w:eastAsia="Times New Roman" w:hAnsi="Times New Roman" w:cs="Times New Roman"/>
          <w:i/>
          <w:iCs/>
          <w:lang w:val="en-GB" w:eastAsia="es-ES"/>
        </w:rPr>
        <w:t>J Sports Sci, 6</w:t>
      </w:r>
      <w:r w:rsidRPr="00FF31D4">
        <w:rPr>
          <w:rFonts w:ascii="Times New Roman" w:eastAsia="Times New Roman" w:hAnsi="Times New Roman" w:cs="Times New Roman"/>
          <w:lang w:val="en-GB" w:eastAsia="es-ES"/>
        </w:rPr>
        <w:t xml:space="preserve">(2):93-101. </w:t>
      </w:r>
    </w:p>
    <w:p w14:paraId="673D553E"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 xml:space="preserve">Li, L., Sun, N., Zhang, L., Xu, G., Liu, J., Hu, J., Zhang, Z., Lou, J., Deng, H., Shen, Z., &amp; Han, L. (2020). Fast food consumption among young adolescents aged 12–15 years in 54 low-and middle-income countries. </w:t>
      </w:r>
      <w:r w:rsidRPr="00FF31D4">
        <w:rPr>
          <w:rFonts w:ascii="Times New Roman" w:eastAsia="Times New Roman" w:hAnsi="Times New Roman" w:cs="Times New Roman"/>
          <w:i/>
          <w:iCs/>
          <w:lang w:val="en-GB" w:eastAsia="es-ES"/>
        </w:rPr>
        <w:t>Global health action, 13</w:t>
      </w:r>
      <w:r w:rsidRPr="00FF31D4">
        <w:rPr>
          <w:rFonts w:ascii="Times New Roman" w:eastAsia="Times New Roman" w:hAnsi="Times New Roman" w:cs="Times New Roman"/>
          <w:lang w:val="en-GB" w:eastAsia="es-ES"/>
        </w:rPr>
        <w:t xml:space="preserve">(1), 1795438. </w:t>
      </w:r>
    </w:p>
    <w:p w14:paraId="36FC11BA"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eastAsia="es-ES"/>
        </w:rPr>
      </w:pPr>
      <w:r w:rsidRPr="00FF31D4">
        <w:rPr>
          <w:rFonts w:ascii="Times New Roman" w:eastAsia="Times New Roman" w:hAnsi="Times New Roman" w:cs="Times New Roman"/>
          <w:lang w:val="en-GB" w:eastAsia="es-ES"/>
        </w:rPr>
        <w:t>Lohner, T. (1987). Adolescent psychosocial growth and development. </w:t>
      </w:r>
      <w:r w:rsidRPr="00FF31D4">
        <w:rPr>
          <w:rFonts w:ascii="Times New Roman" w:eastAsia="Times New Roman" w:hAnsi="Times New Roman" w:cs="Times New Roman"/>
          <w:i/>
          <w:iCs/>
          <w:lang w:eastAsia="es-ES"/>
        </w:rPr>
        <w:t>Primary Care: Clinics in Office Practice</w:t>
      </w:r>
      <w:r w:rsidRPr="00FF31D4">
        <w:rPr>
          <w:rFonts w:ascii="Times New Roman" w:eastAsia="Times New Roman" w:hAnsi="Times New Roman" w:cs="Times New Roman"/>
          <w:lang w:eastAsia="es-ES"/>
        </w:rPr>
        <w:t>, </w:t>
      </w:r>
      <w:r w:rsidRPr="00FF31D4">
        <w:rPr>
          <w:rFonts w:ascii="Times New Roman" w:eastAsia="Times New Roman" w:hAnsi="Times New Roman" w:cs="Times New Roman"/>
          <w:i/>
          <w:iCs/>
          <w:lang w:eastAsia="es-ES"/>
        </w:rPr>
        <w:t>14</w:t>
      </w:r>
      <w:r w:rsidRPr="00FF31D4">
        <w:rPr>
          <w:rFonts w:ascii="Times New Roman" w:eastAsia="Times New Roman" w:hAnsi="Times New Roman" w:cs="Times New Roman"/>
          <w:lang w:eastAsia="es-ES"/>
        </w:rPr>
        <w:t>(1), 13-23.</w:t>
      </w:r>
    </w:p>
    <w:p w14:paraId="7F40DD1D"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eastAsia="es-ES"/>
        </w:rPr>
      </w:pPr>
      <w:r w:rsidRPr="00FF31D4">
        <w:rPr>
          <w:rFonts w:ascii="Times New Roman" w:eastAsia="Times New Roman" w:hAnsi="Times New Roman" w:cs="Times New Roman"/>
          <w:lang w:eastAsia="es-ES"/>
        </w:rPr>
        <w:t xml:space="preserve">Martínez-Gómez, D., Martínez-de-Haro, V., Pozo, T., Welk, G. J., Villagra, A., Calle, M. E., Marcos, A., &amp; Veiga, O. L. (2009). Fiabilidad y validez del cuestionario de actividad física PAQ-A en adolescentes españoles. </w:t>
      </w:r>
      <w:r w:rsidRPr="00FF31D4">
        <w:rPr>
          <w:rFonts w:ascii="Times New Roman" w:eastAsia="Times New Roman" w:hAnsi="Times New Roman" w:cs="Times New Roman"/>
          <w:i/>
          <w:iCs/>
          <w:lang w:eastAsia="es-ES"/>
        </w:rPr>
        <w:t>Revista española de salud pública, 83,</w:t>
      </w:r>
      <w:r w:rsidRPr="00FF31D4">
        <w:rPr>
          <w:rFonts w:ascii="Times New Roman" w:eastAsia="Times New Roman" w:hAnsi="Times New Roman" w:cs="Times New Roman"/>
          <w:lang w:eastAsia="es-ES"/>
        </w:rPr>
        <w:t xml:space="preserve"> 427-439. </w:t>
      </w:r>
    </w:p>
    <w:p w14:paraId="766FABDA"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eastAsia="es-ES"/>
        </w:rPr>
        <w:t xml:space="preserve">Mastorci, F., Piaggi, P., Bastiani, L., Trivellini, G., Doveri, C., Casu, A., Vassalle, C., &amp; Pingitore, A. (2020). </w:t>
      </w:r>
      <w:r w:rsidRPr="00FF31D4">
        <w:rPr>
          <w:rFonts w:ascii="Times New Roman" w:eastAsia="Times New Roman" w:hAnsi="Times New Roman" w:cs="Times New Roman"/>
          <w:lang w:val="en-GB" w:eastAsia="es-ES"/>
        </w:rPr>
        <w:t xml:space="preserve">The impact of menarche on health-related quality of life in a sample of Italian adolescents: evidence from school-based AVATAR project. </w:t>
      </w:r>
      <w:r w:rsidRPr="00FF31D4">
        <w:rPr>
          <w:rFonts w:ascii="Times New Roman" w:eastAsia="Times New Roman" w:hAnsi="Times New Roman" w:cs="Times New Roman"/>
          <w:i/>
          <w:iCs/>
          <w:lang w:val="en-GB" w:eastAsia="es-ES"/>
        </w:rPr>
        <w:t>European Journal of Pediatrics, 179</w:t>
      </w:r>
      <w:r w:rsidRPr="00FF31D4">
        <w:rPr>
          <w:rFonts w:ascii="Times New Roman" w:eastAsia="Times New Roman" w:hAnsi="Times New Roman" w:cs="Times New Roman"/>
          <w:lang w:val="en-GB" w:eastAsia="es-ES"/>
        </w:rPr>
        <w:t>(6), 973-978.</w:t>
      </w:r>
    </w:p>
    <w:p w14:paraId="3520B006"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 xml:space="preserve">McGue, M., Elkins, I., Walden, B., &amp; Iacono, W. G. (2005). Perceptions of the parent-adolescent relationship: a longitudinal investigation. </w:t>
      </w:r>
      <w:r w:rsidRPr="00FF31D4">
        <w:rPr>
          <w:rFonts w:ascii="Times New Roman" w:eastAsia="Times New Roman" w:hAnsi="Times New Roman" w:cs="Times New Roman"/>
          <w:i/>
          <w:iCs/>
          <w:lang w:val="en-GB" w:eastAsia="es-ES"/>
        </w:rPr>
        <w:t>Developmental psychology, 41</w:t>
      </w:r>
      <w:r w:rsidRPr="00FF31D4">
        <w:rPr>
          <w:rFonts w:ascii="Times New Roman" w:eastAsia="Times New Roman" w:hAnsi="Times New Roman" w:cs="Times New Roman"/>
          <w:lang w:val="en-GB" w:eastAsia="es-ES"/>
        </w:rPr>
        <w:t>(6), 971.</w:t>
      </w:r>
    </w:p>
    <w:p w14:paraId="420DAA53"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 xml:space="preserve">McMahon, G., Creaven, A. M., &amp; Gallagher, S. (2020). Stressful life events and adolescent well‐being: The role of parent and peer relationships. </w:t>
      </w:r>
      <w:r w:rsidRPr="00FF31D4">
        <w:rPr>
          <w:rFonts w:ascii="Times New Roman" w:eastAsia="Times New Roman" w:hAnsi="Times New Roman" w:cs="Times New Roman"/>
          <w:i/>
          <w:iCs/>
          <w:lang w:val="en-GB" w:eastAsia="es-ES"/>
        </w:rPr>
        <w:t>Stress and Health, 36</w:t>
      </w:r>
      <w:r w:rsidRPr="00FF31D4">
        <w:rPr>
          <w:rFonts w:ascii="Times New Roman" w:eastAsia="Times New Roman" w:hAnsi="Times New Roman" w:cs="Times New Roman"/>
          <w:lang w:val="en-GB" w:eastAsia="es-ES"/>
        </w:rPr>
        <w:t>(3), 299-310.</w:t>
      </w:r>
    </w:p>
    <w:p w14:paraId="214C0B52"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 xml:space="preserve">Meade, T., &amp; Dowswell, E. (2015). Health-related quality of life in a sample of Australian adolescents: Gender and age comparison. </w:t>
      </w:r>
      <w:r w:rsidRPr="00FF31D4">
        <w:rPr>
          <w:rFonts w:ascii="Times New Roman" w:eastAsia="Times New Roman" w:hAnsi="Times New Roman" w:cs="Times New Roman"/>
          <w:i/>
          <w:iCs/>
          <w:lang w:val="en-GB" w:eastAsia="es-ES"/>
        </w:rPr>
        <w:t>Quality of Life Research, 24</w:t>
      </w:r>
      <w:r w:rsidRPr="00FF31D4">
        <w:rPr>
          <w:rFonts w:ascii="Times New Roman" w:eastAsia="Times New Roman" w:hAnsi="Times New Roman" w:cs="Times New Roman"/>
          <w:lang w:val="en-GB" w:eastAsia="es-ES"/>
        </w:rPr>
        <w:t>(12), 2933–2938.</w:t>
      </w:r>
    </w:p>
    <w:p w14:paraId="7D5B021B"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 xml:space="preserve">Meade, T., &amp; Dowswell, E. (2016). Adolescents’ health-related quality of life (HRQoL) changes over time: a three year longitudinal study. </w:t>
      </w:r>
      <w:r w:rsidRPr="00FF31D4">
        <w:rPr>
          <w:rFonts w:ascii="Times New Roman" w:eastAsia="Times New Roman" w:hAnsi="Times New Roman" w:cs="Times New Roman"/>
          <w:i/>
          <w:iCs/>
          <w:lang w:val="en-GB" w:eastAsia="es-ES"/>
        </w:rPr>
        <w:t>Health and quality of life outcomes, 14</w:t>
      </w:r>
      <w:r w:rsidRPr="00FF31D4">
        <w:rPr>
          <w:rFonts w:ascii="Times New Roman" w:eastAsia="Times New Roman" w:hAnsi="Times New Roman" w:cs="Times New Roman"/>
          <w:lang w:val="en-GB" w:eastAsia="es-ES"/>
        </w:rPr>
        <w:t>(1), 1-8.</w:t>
      </w:r>
    </w:p>
    <w:p w14:paraId="276CC44A"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 xml:space="preserve">Meeus, W. (2016). Adolescent psychosocial development: A review of longitudinal models and research. </w:t>
      </w:r>
      <w:r w:rsidRPr="00FF31D4">
        <w:rPr>
          <w:rFonts w:ascii="Times New Roman" w:eastAsia="Times New Roman" w:hAnsi="Times New Roman" w:cs="Times New Roman"/>
          <w:i/>
          <w:iCs/>
          <w:lang w:val="en-GB" w:eastAsia="es-ES"/>
        </w:rPr>
        <w:t>Dev Psychol, 52</w:t>
      </w:r>
      <w:r w:rsidRPr="00FF31D4">
        <w:rPr>
          <w:rFonts w:ascii="Times New Roman" w:eastAsia="Times New Roman" w:hAnsi="Times New Roman" w:cs="Times New Roman"/>
          <w:lang w:val="en-GB" w:eastAsia="es-ES"/>
        </w:rPr>
        <w:t xml:space="preserve">(12):1969-1993. </w:t>
      </w:r>
    </w:p>
    <w:p w14:paraId="12B315BD"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 xml:space="preserve">Metcalf, B. S., Hosking, J., Jeffery, A. N., Henley, W. E., &amp; Wilkin, T. J. (2015). Exploring the Adolescent Fall in Physical Activity: A 10-yr Cohort Study (EarlyBird 41). </w:t>
      </w:r>
      <w:r w:rsidRPr="00FF31D4">
        <w:rPr>
          <w:rFonts w:ascii="Times New Roman" w:eastAsia="Times New Roman" w:hAnsi="Times New Roman" w:cs="Times New Roman"/>
          <w:i/>
          <w:iCs/>
          <w:lang w:val="en-GB" w:eastAsia="es-ES"/>
        </w:rPr>
        <w:t>Medicine and science in sports and exercise, 47</w:t>
      </w:r>
      <w:r w:rsidRPr="00FF31D4">
        <w:rPr>
          <w:rFonts w:ascii="Times New Roman" w:eastAsia="Times New Roman" w:hAnsi="Times New Roman" w:cs="Times New Roman"/>
          <w:lang w:val="en-GB" w:eastAsia="es-ES"/>
        </w:rPr>
        <w:t>(10), 2084-2092.</w:t>
      </w:r>
    </w:p>
    <w:p w14:paraId="7B55B8BE"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eastAsia="es-ES"/>
        </w:rPr>
      </w:pPr>
      <w:r w:rsidRPr="00FF31D4">
        <w:rPr>
          <w:rFonts w:ascii="Times New Roman" w:eastAsia="Times New Roman" w:hAnsi="Times New Roman" w:cs="Times New Roman"/>
          <w:lang w:val="en-GB" w:eastAsia="es-ES"/>
        </w:rPr>
        <w:t xml:space="preserve">Michel, G., Bisegger, C., Fuhr, D. C., &amp; Abel, T. (2009). Age and gender differences in health-related quality of life of children and adolescents in Europe: a multilevel analysis. </w:t>
      </w:r>
      <w:r w:rsidRPr="00FF31D4">
        <w:rPr>
          <w:rFonts w:ascii="Times New Roman" w:eastAsia="Times New Roman" w:hAnsi="Times New Roman" w:cs="Times New Roman"/>
          <w:i/>
          <w:iCs/>
          <w:lang w:eastAsia="es-ES"/>
        </w:rPr>
        <w:t>Quality of life research, 18</w:t>
      </w:r>
      <w:r w:rsidRPr="00FF31D4">
        <w:rPr>
          <w:rFonts w:ascii="Times New Roman" w:eastAsia="Times New Roman" w:hAnsi="Times New Roman" w:cs="Times New Roman"/>
          <w:lang w:eastAsia="es-ES"/>
        </w:rPr>
        <w:t>(9), 1147-1157.</w:t>
      </w:r>
    </w:p>
    <w:p w14:paraId="229D3CFF"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eastAsia="es-ES"/>
        </w:rPr>
      </w:pPr>
      <w:r w:rsidRPr="00FF31D4">
        <w:rPr>
          <w:rFonts w:ascii="Times New Roman" w:eastAsia="Times New Roman" w:hAnsi="Times New Roman" w:cs="Times New Roman"/>
          <w:lang w:eastAsia="es-ES"/>
        </w:rPr>
        <w:t xml:space="preserve">Ministerio de Sanidad, Consumo y Bienestar Social (2018). </w:t>
      </w:r>
      <w:r w:rsidRPr="00FF31D4">
        <w:rPr>
          <w:rFonts w:ascii="Times New Roman" w:eastAsia="Times New Roman" w:hAnsi="Times New Roman" w:cs="Times New Roman"/>
          <w:i/>
          <w:iCs/>
          <w:lang w:eastAsia="es-ES"/>
        </w:rPr>
        <w:t>ENSE Encuesta Nacional de Salud España 2017</w:t>
      </w:r>
      <w:r w:rsidRPr="00FF31D4">
        <w:rPr>
          <w:rFonts w:ascii="Times New Roman" w:eastAsia="Times New Roman" w:hAnsi="Times New Roman" w:cs="Times New Roman"/>
          <w:lang w:eastAsia="es-ES"/>
        </w:rPr>
        <w:t>. Madrid: Ministerio de Sanidad, Consumo y Bienestar Social; 2018. Disponible en: https://www.mscbs.gob.es/estadEstudios/estadisticas/encuestaNacional/encuesta2017.htm</w:t>
      </w:r>
    </w:p>
    <w:p w14:paraId="0539D2BD"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eastAsia="es-ES"/>
        </w:rPr>
      </w:pPr>
      <w:r w:rsidRPr="00FF31D4">
        <w:rPr>
          <w:rFonts w:ascii="Times New Roman" w:eastAsia="Times New Roman" w:hAnsi="Times New Roman" w:cs="Times New Roman"/>
          <w:lang w:eastAsia="es-ES"/>
        </w:rPr>
        <w:t xml:space="preserve">Molina, T., Montaño, R., González, E., Sepúlveda, R., Hidalgo-Rasmussen, C., Martínez, V., Molina, R., &amp; George, M. (2014). Propiedades psicométricas del cuestionario de calidad de vida relacionada con la salud KIDSCREEN-27 en adolescentes chilenos. </w:t>
      </w:r>
      <w:r w:rsidRPr="00FF31D4">
        <w:rPr>
          <w:rFonts w:ascii="Times New Roman" w:eastAsia="Times New Roman" w:hAnsi="Times New Roman" w:cs="Times New Roman"/>
          <w:i/>
          <w:iCs/>
          <w:lang w:eastAsia="es-ES"/>
        </w:rPr>
        <w:t>Revista médica de Chile, 142</w:t>
      </w:r>
      <w:r w:rsidRPr="00FF31D4">
        <w:rPr>
          <w:rFonts w:ascii="Times New Roman" w:eastAsia="Times New Roman" w:hAnsi="Times New Roman" w:cs="Times New Roman"/>
          <w:lang w:eastAsia="es-ES"/>
        </w:rPr>
        <w:t>(11), 1415-1421. doi:10.4067/S0034-98872014001100008</w:t>
      </w:r>
    </w:p>
    <w:p w14:paraId="165656CF"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eastAsia="es-ES"/>
        </w:rPr>
        <w:t xml:space="preserve">Mollborn, S., &amp; Lawrence, E. (2018). </w:t>
      </w:r>
      <w:r w:rsidRPr="00FF31D4">
        <w:rPr>
          <w:rFonts w:ascii="Times New Roman" w:eastAsia="Times New Roman" w:hAnsi="Times New Roman" w:cs="Times New Roman"/>
          <w:lang w:val="en-GB" w:eastAsia="es-ES"/>
        </w:rPr>
        <w:t xml:space="preserve">Family, peer, and school influences on children’s developing health lifestyles. </w:t>
      </w:r>
      <w:r w:rsidRPr="00FF31D4">
        <w:rPr>
          <w:rFonts w:ascii="Times New Roman" w:eastAsia="Times New Roman" w:hAnsi="Times New Roman" w:cs="Times New Roman"/>
          <w:i/>
          <w:iCs/>
          <w:lang w:val="en-GB" w:eastAsia="es-ES"/>
        </w:rPr>
        <w:t>Journal of health and social behavior, 59</w:t>
      </w:r>
      <w:r w:rsidRPr="00FF31D4">
        <w:rPr>
          <w:rFonts w:ascii="Times New Roman" w:eastAsia="Times New Roman" w:hAnsi="Times New Roman" w:cs="Times New Roman"/>
          <w:lang w:val="en-GB" w:eastAsia="es-ES"/>
        </w:rPr>
        <w:t>(1), 133-150.</w:t>
      </w:r>
    </w:p>
    <w:p w14:paraId="094CF4E1"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eastAsia="es-ES"/>
        </w:rPr>
      </w:pPr>
      <w:r w:rsidRPr="00FF31D4">
        <w:rPr>
          <w:rFonts w:ascii="Times New Roman" w:eastAsia="Times New Roman" w:hAnsi="Times New Roman" w:cs="Times New Roman"/>
          <w:lang w:val="en-GB" w:eastAsia="es-ES"/>
        </w:rPr>
        <w:t xml:space="preserve">Montero, J., Tuzón, P., &amp; Gavidia, V. (2020). </w:t>
      </w:r>
      <w:r w:rsidRPr="00FF31D4">
        <w:rPr>
          <w:rFonts w:ascii="Times New Roman" w:eastAsia="Times New Roman" w:hAnsi="Times New Roman" w:cs="Times New Roman"/>
          <w:lang w:eastAsia="es-ES"/>
        </w:rPr>
        <w:t>La Educación para la Salud en las leyes de Educación españolas: comparativa entre la LOE y la LOMCE. </w:t>
      </w:r>
      <w:r w:rsidRPr="00FF31D4">
        <w:rPr>
          <w:rFonts w:ascii="Times New Roman" w:eastAsia="Times New Roman" w:hAnsi="Times New Roman" w:cs="Times New Roman"/>
          <w:i/>
          <w:iCs/>
          <w:lang w:eastAsia="es-ES"/>
        </w:rPr>
        <w:t>Revista Española de Salud Pública</w:t>
      </w:r>
      <w:r w:rsidRPr="00FF31D4">
        <w:rPr>
          <w:rFonts w:ascii="Times New Roman" w:eastAsia="Times New Roman" w:hAnsi="Times New Roman" w:cs="Times New Roman"/>
          <w:lang w:eastAsia="es-ES"/>
        </w:rPr>
        <w:t>, </w:t>
      </w:r>
      <w:r w:rsidRPr="00FF31D4">
        <w:rPr>
          <w:rFonts w:ascii="Times New Roman" w:eastAsia="Times New Roman" w:hAnsi="Times New Roman" w:cs="Times New Roman"/>
          <w:i/>
          <w:iCs/>
          <w:lang w:eastAsia="es-ES"/>
        </w:rPr>
        <w:t>92</w:t>
      </w:r>
      <w:r w:rsidRPr="00FF31D4">
        <w:rPr>
          <w:rFonts w:ascii="Times New Roman" w:eastAsia="Times New Roman" w:hAnsi="Times New Roman" w:cs="Times New Roman"/>
          <w:lang w:eastAsia="es-ES"/>
        </w:rPr>
        <w:t>, e201806030.</w:t>
      </w:r>
    </w:p>
    <w:p w14:paraId="685B1F9F"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eastAsia="es-ES"/>
        </w:rPr>
      </w:pPr>
      <w:r w:rsidRPr="00FF31D4">
        <w:rPr>
          <w:rFonts w:ascii="Times New Roman" w:eastAsia="Times New Roman" w:hAnsi="Times New Roman" w:cs="Times New Roman"/>
          <w:lang w:eastAsia="es-ES"/>
        </w:rPr>
        <w:t xml:space="preserve"> Moreno, C., Ramos, P., Rivera, F., Sánchez-Queija, I., Jiménez-Iglesias, A., García-Moya, I., Sánchez, I., Moreno, C., Paniagua, C., Villafuerte, A., Ciria, E., Morgan, A., &amp; Leal-López, E. (2019). </w:t>
      </w:r>
      <w:r w:rsidRPr="00FF31D4">
        <w:rPr>
          <w:rFonts w:ascii="Times New Roman" w:eastAsia="Times New Roman" w:hAnsi="Times New Roman" w:cs="Times New Roman"/>
          <w:i/>
          <w:iCs/>
          <w:lang w:eastAsia="es-ES"/>
        </w:rPr>
        <w:t>Informe técnico de los resultados obtenidos por el Estudio Health Behaviour in School-aged Children (HBSC) 2018 en España</w:t>
      </w:r>
      <w:r w:rsidRPr="00FF31D4">
        <w:rPr>
          <w:rFonts w:ascii="Times New Roman" w:eastAsia="Times New Roman" w:hAnsi="Times New Roman" w:cs="Times New Roman"/>
          <w:lang w:eastAsia="es-ES"/>
        </w:rPr>
        <w:t xml:space="preserve">. Gobierno de España. </w:t>
      </w:r>
    </w:p>
    <w:p w14:paraId="0AD90655"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eastAsia="es-ES"/>
        </w:rPr>
      </w:pPr>
      <w:r w:rsidRPr="00FF31D4">
        <w:rPr>
          <w:rFonts w:ascii="Times New Roman" w:eastAsia="Times New Roman" w:hAnsi="Times New Roman" w:cs="Times New Roman"/>
          <w:lang w:eastAsia="es-ES"/>
        </w:rPr>
        <w:t>Moreno, C., Ramos, P., Rivera, F., Sánchez-Queija, I., Jiménez-Iglesias, A., García-Moya, I., Moreno-Maldonado, C., Paniagua, C., Villafuerte-Díaz, A., Ciria-Barreiro, E., Morgan, A.,  &amp; Leal-López, E. (2018). La adolescencia en España: salud, bienestar, familia, vida académica y social. </w:t>
      </w:r>
      <w:r w:rsidRPr="00FF31D4">
        <w:rPr>
          <w:rFonts w:ascii="Times New Roman" w:eastAsia="Times New Roman" w:hAnsi="Times New Roman" w:cs="Times New Roman"/>
          <w:i/>
          <w:iCs/>
          <w:lang w:eastAsia="es-ES"/>
        </w:rPr>
        <w:t>Resultados del estudio HBSC</w:t>
      </w:r>
      <w:r w:rsidRPr="00FF31D4">
        <w:rPr>
          <w:rFonts w:ascii="Times New Roman" w:eastAsia="Times New Roman" w:hAnsi="Times New Roman" w:cs="Times New Roman"/>
          <w:lang w:eastAsia="es-ES"/>
        </w:rPr>
        <w:t>.</w:t>
      </w:r>
    </w:p>
    <w:p w14:paraId="42D4B01D"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eastAsia="es-ES"/>
        </w:rPr>
        <w:t xml:space="preserve">Moreno-Maldonado, C., Ramos, P., Moreno, C., &amp; Rivera, F. (2018). </w:t>
      </w:r>
      <w:r w:rsidRPr="00FF31D4">
        <w:rPr>
          <w:rFonts w:ascii="Times New Roman" w:eastAsia="Times New Roman" w:hAnsi="Times New Roman" w:cs="Times New Roman"/>
          <w:lang w:val="en-GB" w:eastAsia="es-ES"/>
        </w:rPr>
        <w:t xml:space="preserve">How family socioeconomic status, peer behaviors, and school-based intervention on healthy habits influence adolescent eating behaviors. </w:t>
      </w:r>
      <w:r w:rsidRPr="00FF31D4">
        <w:rPr>
          <w:rFonts w:ascii="Times New Roman" w:eastAsia="Times New Roman" w:hAnsi="Times New Roman" w:cs="Times New Roman"/>
          <w:i/>
          <w:iCs/>
          <w:lang w:val="en-GB" w:eastAsia="es-ES"/>
        </w:rPr>
        <w:t>School Psychology International, 39</w:t>
      </w:r>
      <w:r w:rsidRPr="00FF31D4">
        <w:rPr>
          <w:rFonts w:ascii="Times New Roman" w:eastAsia="Times New Roman" w:hAnsi="Times New Roman" w:cs="Times New Roman"/>
          <w:lang w:val="en-GB" w:eastAsia="es-ES"/>
        </w:rPr>
        <w:t>(1), 92-118.</w:t>
      </w:r>
    </w:p>
    <w:p w14:paraId="74751C14"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 xml:space="preserve">Movassagh, E. Z., Baxter-Jones, A. D., Kontulainen, S., Whiting, S. J., &amp; Vatanparast, H. (2017). Tracking dietary patterns over 20 years from childhood through adolescence into young adulthood: The Saskatchewan Pediatric Bone Mineral Accrual Study. </w:t>
      </w:r>
      <w:r w:rsidRPr="00FF31D4">
        <w:rPr>
          <w:rFonts w:ascii="Times New Roman" w:eastAsia="Times New Roman" w:hAnsi="Times New Roman" w:cs="Times New Roman"/>
          <w:i/>
          <w:iCs/>
          <w:lang w:val="en-GB" w:eastAsia="es-ES"/>
        </w:rPr>
        <w:t>Nutrients, 9</w:t>
      </w:r>
      <w:r w:rsidRPr="00FF31D4">
        <w:rPr>
          <w:rFonts w:ascii="Times New Roman" w:eastAsia="Times New Roman" w:hAnsi="Times New Roman" w:cs="Times New Roman"/>
          <w:lang w:val="en-GB" w:eastAsia="es-ES"/>
        </w:rPr>
        <w:t>(9), 990.</w:t>
      </w:r>
    </w:p>
    <w:p w14:paraId="4BC31969"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 xml:space="preserve">Nestle, M. (2002). </w:t>
      </w:r>
      <w:r w:rsidRPr="00FF31D4">
        <w:rPr>
          <w:rFonts w:ascii="Times New Roman" w:eastAsia="Times New Roman" w:hAnsi="Times New Roman" w:cs="Times New Roman"/>
          <w:i/>
          <w:iCs/>
          <w:lang w:val="en-GB" w:eastAsia="es-ES"/>
        </w:rPr>
        <w:t>Food Politics: How the Food Industry Influences Nutrition and Health</w:t>
      </w:r>
      <w:r w:rsidRPr="00FF31D4">
        <w:rPr>
          <w:rFonts w:ascii="Times New Roman" w:eastAsia="Times New Roman" w:hAnsi="Times New Roman" w:cs="Times New Roman"/>
          <w:lang w:val="en-GB" w:eastAsia="es-ES"/>
        </w:rPr>
        <w:t>. University of California Press.</w:t>
      </w:r>
    </w:p>
    <w:p w14:paraId="16B2AB96"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 xml:space="preserve">Ng, C.D., &amp; Cunningham, S.A. (2020). In, out, and fluctuating: obesity from adolescence to adulthood. </w:t>
      </w:r>
      <w:r w:rsidRPr="00FF31D4">
        <w:rPr>
          <w:rFonts w:ascii="Times New Roman" w:eastAsia="Times New Roman" w:hAnsi="Times New Roman" w:cs="Times New Roman"/>
          <w:i/>
          <w:iCs/>
          <w:lang w:val="en-GB" w:eastAsia="es-ES"/>
        </w:rPr>
        <w:t>Annals of epidemiology, 41</w:t>
      </w:r>
      <w:r w:rsidRPr="00FF31D4">
        <w:rPr>
          <w:rFonts w:ascii="Times New Roman" w:eastAsia="Times New Roman" w:hAnsi="Times New Roman" w:cs="Times New Roman"/>
          <w:lang w:val="en-GB" w:eastAsia="es-ES"/>
        </w:rPr>
        <w:t>, 14-20.</w:t>
      </w:r>
    </w:p>
    <w:p w14:paraId="5F6D562F"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 xml:space="preserve">Onis, M. D., Onyango, A. W., Borghi, E., Siyam, A., Nishida, C., &amp; Siekmann, J. (2007). Development of a WHO growth reference for school-aged children and adolescents. </w:t>
      </w:r>
      <w:r w:rsidRPr="00FF31D4">
        <w:rPr>
          <w:rFonts w:ascii="Times New Roman" w:eastAsia="Times New Roman" w:hAnsi="Times New Roman" w:cs="Times New Roman"/>
          <w:i/>
          <w:iCs/>
          <w:lang w:val="en-GB" w:eastAsia="es-ES"/>
        </w:rPr>
        <w:t>Bull World Health Organ, 85</w:t>
      </w:r>
      <w:r w:rsidRPr="00FF31D4">
        <w:rPr>
          <w:rFonts w:ascii="Times New Roman" w:eastAsia="Times New Roman" w:hAnsi="Times New Roman" w:cs="Times New Roman"/>
          <w:lang w:val="en-GB" w:eastAsia="es-ES"/>
        </w:rPr>
        <w:t xml:space="preserve">(9), 660-667. </w:t>
      </w:r>
    </w:p>
    <w:p w14:paraId="009027DD"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 xml:space="preserve">Ornelas, I. J., Perreira, K. M., &amp; Ayala, G. X. (2007). Parental influences on adolescent physical activity: a longitudinal study. </w:t>
      </w:r>
      <w:r w:rsidRPr="00FF31D4">
        <w:rPr>
          <w:rFonts w:ascii="Times New Roman" w:eastAsia="Times New Roman" w:hAnsi="Times New Roman" w:cs="Times New Roman"/>
          <w:i/>
          <w:iCs/>
          <w:lang w:val="en-GB" w:eastAsia="es-ES"/>
        </w:rPr>
        <w:t>International journal of behavioral nutrition and physical activity, 4</w:t>
      </w:r>
      <w:r w:rsidRPr="00FF31D4">
        <w:rPr>
          <w:rFonts w:ascii="Times New Roman" w:eastAsia="Times New Roman" w:hAnsi="Times New Roman" w:cs="Times New Roman"/>
          <w:lang w:val="en-GB" w:eastAsia="es-ES"/>
        </w:rPr>
        <w:t>(1), 1-10.</w:t>
      </w:r>
    </w:p>
    <w:p w14:paraId="3555F425"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 xml:space="preserve">Orth, U., Erol, R. Y., &amp; Luciano, E. C. (2018). Development of self-esteem from age 4 to 94 years: A meta-analysis of longitudinal studies. </w:t>
      </w:r>
      <w:r w:rsidRPr="00FF31D4">
        <w:rPr>
          <w:rFonts w:ascii="Times New Roman" w:eastAsia="Times New Roman" w:hAnsi="Times New Roman" w:cs="Times New Roman"/>
          <w:i/>
          <w:iCs/>
          <w:lang w:val="en-GB" w:eastAsia="es-ES"/>
        </w:rPr>
        <w:t>Psychological bulletin, 144</w:t>
      </w:r>
      <w:r w:rsidRPr="00FF31D4">
        <w:rPr>
          <w:rFonts w:ascii="Times New Roman" w:eastAsia="Times New Roman" w:hAnsi="Times New Roman" w:cs="Times New Roman"/>
          <w:lang w:val="en-GB" w:eastAsia="es-ES"/>
        </w:rPr>
        <w:t xml:space="preserve">(10), 1045. </w:t>
      </w:r>
    </w:p>
    <w:p w14:paraId="3D840563"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 xml:space="preserve">Otto, C., Haller, A. C., Klasen, F., Hölling, H., Bullinger, M., Ravens-Sieberer, U., &amp; BELLA Study Group. (2017). Risk and protective factors of health-related quality of life in children and adolescents: results of the longitudinal BELLA study. </w:t>
      </w:r>
      <w:r w:rsidRPr="00FF31D4">
        <w:rPr>
          <w:rFonts w:ascii="Times New Roman" w:eastAsia="Times New Roman" w:hAnsi="Times New Roman" w:cs="Times New Roman"/>
          <w:i/>
          <w:iCs/>
          <w:lang w:val="en-GB" w:eastAsia="es-ES"/>
        </w:rPr>
        <w:t>PLoS One, 12</w:t>
      </w:r>
      <w:r w:rsidRPr="00FF31D4">
        <w:rPr>
          <w:rFonts w:ascii="Times New Roman" w:eastAsia="Times New Roman" w:hAnsi="Times New Roman" w:cs="Times New Roman"/>
          <w:lang w:val="en-GB" w:eastAsia="es-ES"/>
        </w:rPr>
        <w:t>(12), e0190363.</w:t>
      </w:r>
    </w:p>
    <w:p w14:paraId="0CCF730F"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 xml:space="preserve">Otto, C., Reiss, F., Voss, C., Wüstner, A., Meyrose, A. K., Hölling, H., &amp; Ravens-Sieberer, U. (2021). Mental health and well-being from childhood to adulthood: design, methods and results of the 11-year follow-up of the BELLA study. </w:t>
      </w:r>
      <w:r w:rsidRPr="00FF31D4">
        <w:rPr>
          <w:rFonts w:ascii="Times New Roman" w:eastAsia="Times New Roman" w:hAnsi="Times New Roman" w:cs="Times New Roman"/>
          <w:i/>
          <w:iCs/>
          <w:lang w:val="en-GB" w:eastAsia="es-ES"/>
        </w:rPr>
        <w:t>European child &amp; adolescent psychiatry, 30</w:t>
      </w:r>
      <w:r w:rsidRPr="00FF31D4">
        <w:rPr>
          <w:rFonts w:ascii="Times New Roman" w:eastAsia="Times New Roman" w:hAnsi="Times New Roman" w:cs="Times New Roman"/>
          <w:lang w:val="en-GB" w:eastAsia="es-ES"/>
        </w:rPr>
        <w:t>(10), 1559-1577.</w:t>
      </w:r>
    </w:p>
    <w:p w14:paraId="0D7DB834"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 xml:space="preserve">Owens, J. A., &amp; Weiss, M. R. (2017). Insufficient sleep in adolescents: causes and consequences. </w:t>
      </w:r>
      <w:r w:rsidRPr="00FF31D4">
        <w:rPr>
          <w:rFonts w:ascii="Times New Roman" w:eastAsia="Times New Roman" w:hAnsi="Times New Roman" w:cs="Times New Roman"/>
          <w:i/>
          <w:iCs/>
          <w:lang w:val="en-GB" w:eastAsia="es-ES"/>
        </w:rPr>
        <w:t>Minerva pediatrica, 69</w:t>
      </w:r>
      <w:r w:rsidRPr="00FF31D4">
        <w:rPr>
          <w:rFonts w:ascii="Times New Roman" w:eastAsia="Times New Roman" w:hAnsi="Times New Roman" w:cs="Times New Roman"/>
          <w:lang w:val="en-GB" w:eastAsia="es-ES"/>
        </w:rPr>
        <w:t>(4), 326-336.</w:t>
      </w:r>
    </w:p>
    <w:p w14:paraId="2B106DBF"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 xml:space="preserve">Pace, U., D'Urso, G., &amp; Zappulla, C. (2018). Negative eating attitudes and behaviors among adolescents: The role of parental control and perceived peer support. </w:t>
      </w:r>
      <w:r w:rsidRPr="00FF31D4">
        <w:rPr>
          <w:rFonts w:ascii="Times New Roman" w:eastAsia="Times New Roman" w:hAnsi="Times New Roman" w:cs="Times New Roman"/>
          <w:i/>
          <w:iCs/>
          <w:lang w:val="en-GB" w:eastAsia="es-ES"/>
        </w:rPr>
        <w:t>Appetite, 121</w:t>
      </w:r>
      <w:r w:rsidRPr="00FF31D4">
        <w:rPr>
          <w:rFonts w:ascii="Times New Roman" w:eastAsia="Times New Roman" w:hAnsi="Times New Roman" w:cs="Times New Roman"/>
          <w:lang w:val="en-GB" w:eastAsia="es-ES"/>
        </w:rPr>
        <w:t>, 77-82.</w:t>
      </w:r>
    </w:p>
    <w:p w14:paraId="304EFD79"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 xml:space="preserve">Padilla‐Walker, L. M., &amp; Christensen, K. J. (2011). Empathy and self‐regulation as mediators between parenting and adolescents' prosocial behavior toward strangers, friends, and family. </w:t>
      </w:r>
      <w:r w:rsidRPr="00FF31D4">
        <w:rPr>
          <w:rFonts w:ascii="Times New Roman" w:eastAsia="Times New Roman" w:hAnsi="Times New Roman" w:cs="Times New Roman"/>
          <w:i/>
          <w:iCs/>
          <w:lang w:val="en-GB" w:eastAsia="es-ES"/>
        </w:rPr>
        <w:t>Journal of Research on Adolescence, 21</w:t>
      </w:r>
      <w:r w:rsidRPr="00FF31D4">
        <w:rPr>
          <w:rFonts w:ascii="Times New Roman" w:eastAsia="Times New Roman" w:hAnsi="Times New Roman" w:cs="Times New Roman"/>
          <w:lang w:val="en-GB" w:eastAsia="es-ES"/>
        </w:rPr>
        <w:t>(3), 545-551.</w:t>
      </w:r>
    </w:p>
    <w:p w14:paraId="615ED090"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 xml:space="preserve">Palacio-Vieira, J. A., Villalonga-Olives, E., Valderas, J. M., Espallargues, M., Herdman, M., Berra, S., Alonso, J., &amp; Rajmil, L. (2008). Changes in health-related quality of life (HRQoL) in a population-based sample of children and adolescents after 3 years of follow-up. </w:t>
      </w:r>
      <w:r w:rsidRPr="00FF31D4">
        <w:rPr>
          <w:rFonts w:ascii="Times New Roman" w:eastAsia="Times New Roman" w:hAnsi="Times New Roman" w:cs="Times New Roman"/>
          <w:i/>
          <w:iCs/>
          <w:lang w:val="en-GB" w:eastAsia="es-ES"/>
        </w:rPr>
        <w:t>Quality of Life Research, 17</w:t>
      </w:r>
      <w:r w:rsidRPr="00FF31D4">
        <w:rPr>
          <w:rFonts w:ascii="Times New Roman" w:eastAsia="Times New Roman" w:hAnsi="Times New Roman" w:cs="Times New Roman"/>
          <w:lang w:val="en-GB" w:eastAsia="es-ES"/>
        </w:rPr>
        <w:t>(10), 1207-1215.</w:t>
      </w:r>
    </w:p>
    <w:p w14:paraId="0D741AB4"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 xml:space="preserve">Park, H., Chiang, J. J., Irwin, M. R., Bower, J. E., McCreath, H., &amp; Fuligni, A. J. (2019). Developmental trends in sleep during adolescents' transition to young adulthood. </w:t>
      </w:r>
      <w:r w:rsidRPr="00FF31D4">
        <w:rPr>
          <w:rFonts w:ascii="Times New Roman" w:eastAsia="Times New Roman" w:hAnsi="Times New Roman" w:cs="Times New Roman"/>
          <w:i/>
          <w:iCs/>
          <w:lang w:val="en-GB" w:eastAsia="es-ES"/>
        </w:rPr>
        <w:t>Sleep medicine, 60</w:t>
      </w:r>
      <w:r w:rsidRPr="00FF31D4">
        <w:rPr>
          <w:rFonts w:ascii="Times New Roman" w:eastAsia="Times New Roman" w:hAnsi="Times New Roman" w:cs="Times New Roman"/>
          <w:lang w:val="en-GB" w:eastAsia="es-ES"/>
        </w:rPr>
        <w:t>, 202-210.</w:t>
      </w:r>
    </w:p>
    <w:p w14:paraId="3A311E91"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eastAsia="es-ES"/>
        </w:rPr>
      </w:pPr>
      <w:r w:rsidRPr="00FF31D4">
        <w:rPr>
          <w:rFonts w:ascii="Times New Roman" w:eastAsia="Times New Roman" w:hAnsi="Times New Roman" w:cs="Times New Roman"/>
          <w:lang w:val="en-GB" w:eastAsia="es-ES"/>
        </w:rPr>
        <w:t xml:space="preserve">Park, S., Rim, S. J., &amp; Lee, J. H. (2018). Associations between dietary behaviours and perceived physical and mental health status among Korean adolescents. </w:t>
      </w:r>
      <w:r w:rsidRPr="00FF31D4">
        <w:rPr>
          <w:rFonts w:ascii="Times New Roman" w:eastAsia="Times New Roman" w:hAnsi="Times New Roman" w:cs="Times New Roman"/>
          <w:i/>
          <w:iCs/>
          <w:lang w:eastAsia="es-ES"/>
        </w:rPr>
        <w:t>Nutrition &amp; Dietetics, 75</w:t>
      </w:r>
      <w:r w:rsidRPr="00FF31D4">
        <w:rPr>
          <w:rFonts w:ascii="Times New Roman" w:eastAsia="Times New Roman" w:hAnsi="Times New Roman" w:cs="Times New Roman"/>
          <w:lang w:eastAsia="es-ES"/>
        </w:rPr>
        <w:t>(5), 488-493.</w:t>
      </w:r>
    </w:p>
    <w:p w14:paraId="096E7CD7"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eastAsia="es-ES"/>
        </w:rPr>
        <w:t xml:space="preserve">Parra, A., Oliva, A., &amp; Reina, M. D. C. (2015). </w:t>
      </w:r>
      <w:r w:rsidRPr="00FF31D4">
        <w:rPr>
          <w:rFonts w:ascii="Times New Roman" w:eastAsia="Times New Roman" w:hAnsi="Times New Roman" w:cs="Times New Roman"/>
          <w:lang w:val="en-GB" w:eastAsia="es-ES"/>
        </w:rPr>
        <w:t xml:space="preserve">Family relationships from adolescence to emerging adulthood: A longitudinal study. </w:t>
      </w:r>
      <w:r w:rsidRPr="00FF31D4">
        <w:rPr>
          <w:rFonts w:ascii="Times New Roman" w:eastAsia="Times New Roman" w:hAnsi="Times New Roman" w:cs="Times New Roman"/>
          <w:i/>
          <w:iCs/>
          <w:lang w:val="en-GB" w:eastAsia="es-ES"/>
        </w:rPr>
        <w:t>Journal of Family Issues, 36</w:t>
      </w:r>
      <w:r w:rsidRPr="00FF31D4">
        <w:rPr>
          <w:rFonts w:ascii="Times New Roman" w:eastAsia="Times New Roman" w:hAnsi="Times New Roman" w:cs="Times New Roman"/>
          <w:lang w:val="en-GB" w:eastAsia="es-ES"/>
        </w:rPr>
        <w:t>(14), 2002-2020.</w:t>
      </w:r>
    </w:p>
    <w:p w14:paraId="6EB8079D"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 xml:space="preserve">Parviainen, M., Aunola, K., Torppa, M., Lerkkanen, M. K., Poikkeus, A. M., &amp; Vasalampi, K. (2021). Early antecedents of school burnout in upper secondary education: A five-year longitudinal study. </w:t>
      </w:r>
      <w:r w:rsidRPr="00FF31D4">
        <w:rPr>
          <w:rFonts w:ascii="Times New Roman" w:eastAsia="Times New Roman" w:hAnsi="Times New Roman" w:cs="Times New Roman"/>
          <w:i/>
          <w:iCs/>
          <w:lang w:val="en-GB" w:eastAsia="es-ES"/>
        </w:rPr>
        <w:t>Journal of Youth and Adolescence, 50</w:t>
      </w:r>
      <w:r w:rsidRPr="00FF31D4">
        <w:rPr>
          <w:rFonts w:ascii="Times New Roman" w:eastAsia="Times New Roman" w:hAnsi="Times New Roman" w:cs="Times New Roman"/>
          <w:lang w:val="en-GB" w:eastAsia="es-ES"/>
        </w:rPr>
        <w:t>(2), 231-245.</w:t>
      </w:r>
    </w:p>
    <w:p w14:paraId="25090521"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Perry, C. (1982). Adolescent health: An educational-ecological perspective. In </w:t>
      </w:r>
      <w:r w:rsidRPr="00FF31D4">
        <w:rPr>
          <w:rFonts w:ascii="Times New Roman" w:eastAsia="Times New Roman" w:hAnsi="Times New Roman" w:cs="Times New Roman"/>
          <w:i/>
          <w:iCs/>
          <w:lang w:val="en-GB" w:eastAsia="es-ES"/>
        </w:rPr>
        <w:t>Promoting adolescent health</w:t>
      </w:r>
      <w:r w:rsidRPr="00FF31D4">
        <w:rPr>
          <w:rFonts w:ascii="Times New Roman" w:eastAsia="Times New Roman" w:hAnsi="Times New Roman" w:cs="Times New Roman"/>
          <w:lang w:val="en-GB" w:eastAsia="es-ES"/>
        </w:rPr>
        <w:t> (pp. 73-86). Academic Press</w:t>
      </w:r>
    </w:p>
    <w:p w14:paraId="66167676"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Pfeiffer, K. A., Dowda, M., Dishman, R. K., Sirard, J. R., &amp; Pate, R. R. (2007). Physical fitness and performance. Cardiorespiratory fitness in girls-change from middle to high school. </w:t>
      </w:r>
      <w:r w:rsidRPr="00FF31D4">
        <w:rPr>
          <w:rFonts w:ascii="Times New Roman" w:eastAsia="Times New Roman" w:hAnsi="Times New Roman" w:cs="Times New Roman"/>
          <w:i/>
          <w:iCs/>
          <w:lang w:val="en-GB" w:eastAsia="es-ES"/>
        </w:rPr>
        <w:t>Medicine and science in sports and exercise</w:t>
      </w:r>
      <w:r w:rsidRPr="00FF31D4">
        <w:rPr>
          <w:rFonts w:ascii="Times New Roman" w:eastAsia="Times New Roman" w:hAnsi="Times New Roman" w:cs="Times New Roman"/>
          <w:lang w:val="en-GB" w:eastAsia="es-ES"/>
        </w:rPr>
        <w:t>, </w:t>
      </w:r>
      <w:r w:rsidRPr="00FF31D4">
        <w:rPr>
          <w:rFonts w:ascii="Times New Roman" w:eastAsia="Times New Roman" w:hAnsi="Times New Roman" w:cs="Times New Roman"/>
          <w:i/>
          <w:iCs/>
          <w:lang w:val="en-GB" w:eastAsia="es-ES"/>
        </w:rPr>
        <w:t>39</w:t>
      </w:r>
      <w:r w:rsidRPr="00FF31D4">
        <w:rPr>
          <w:rFonts w:ascii="Times New Roman" w:eastAsia="Times New Roman" w:hAnsi="Times New Roman" w:cs="Times New Roman"/>
          <w:lang w:val="en-GB" w:eastAsia="es-ES"/>
        </w:rPr>
        <w:t>(12), 2234-2241.</w:t>
      </w:r>
    </w:p>
    <w:p w14:paraId="06CB84E8"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eastAsia="es-ES"/>
        </w:rPr>
      </w:pPr>
      <w:r w:rsidRPr="00FF31D4">
        <w:rPr>
          <w:rFonts w:ascii="Times New Roman" w:eastAsia="Times New Roman" w:hAnsi="Times New Roman" w:cs="Times New Roman"/>
          <w:lang w:val="en-GB" w:eastAsia="es-ES"/>
        </w:rPr>
        <w:t xml:space="preserve">Pfister, G., &amp; Sisjord, M. K. (Eds.). (2013). </w:t>
      </w:r>
      <w:r w:rsidRPr="00FF31D4">
        <w:rPr>
          <w:rFonts w:ascii="Times New Roman" w:eastAsia="Times New Roman" w:hAnsi="Times New Roman" w:cs="Times New Roman"/>
          <w:i/>
          <w:iCs/>
          <w:lang w:val="en-GB" w:eastAsia="es-ES"/>
        </w:rPr>
        <w:t>Gender and Sport: Changes and challenges</w:t>
      </w:r>
      <w:r w:rsidRPr="00FF31D4">
        <w:rPr>
          <w:rFonts w:ascii="Times New Roman" w:eastAsia="Times New Roman" w:hAnsi="Times New Roman" w:cs="Times New Roman"/>
          <w:lang w:val="en-GB" w:eastAsia="es-ES"/>
        </w:rPr>
        <w:t xml:space="preserve">. </w:t>
      </w:r>
      <w:r w:rsidRPr="00FF31D4">
        <w:rPr>
          <w:rFonts w:ascii="Times New Roman" w:eastAsia="Times New Roman" w:hAnsi="Times New Roman" w:cs="Times New Roman"/>
          <w:lang w:eastAsia="es-ES"/>
        </w:rPr>
        <w:t>Waxmann Verlag.</w:t>
      </w:r>
    </w:p>
    <w:p w14:paraId="48B66B4F"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eastAsia="es-ES"/>
        </w:rPr>
        <w:t xml:space="preserve">Portela-Pino, I., López-Castedo, A., Martínez-Patiño, M. J., Valverde-Esteve, T., &amp; Domínguez-Alonso, J. (2020). </w:t>
      </w:r>
      <w:r w:rsidRPr="00FF31D4">
        <w:rPr>
          <w:rFonts w:ascii="Times New Roman" w:eastAsia="Times New Roman" w:hAnsi="Times New Roman" w:cs="Times New Roman"/>
          <w:lang w:val="en-GB" w:eastAsia="es-ES"/>
        </w:rPr>
        <w:t xml:space="preserve">Gender differences in motivation and barriers for the practice of physical exercise in adolescence. </w:t>
      </w:r>
      <w:r w:rsidRPr="00FF31D4">
        <w:rPr>
          <w:rFonts w:ascii="Times New Roman" w:eastAsia="Times New Roman" w:hAnsi="Times New Roman" w:cs="Times New Roman"/>
          <w:i/>
          <w:iCs/>
          <w:lang w:val="en-GB" w:eastAsia="es-ES"/>
        </w:rPr>
        <w:t>International journal of environmental research and public health, 17</w:t>
      </w:r>
      <w:r w:rsidRPr="00FF31D4">
        <w:rPr>
          <w:rFonts w:ascii="Times New Roman" w:eastAsia="Times New Roman" w:hAnsi="Times New Roman" w:cs="Times New Roman"/>
          <w:lang w:val="en-GB" w:eastAsia="es-ES"/>
        </w:rPr>
        <w:t>(1), 168.</w:t>
      </w:r>
    </w:p>
    <w:p w14:paraId="193F83ED"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 xml:space="preserve">Quatman, T., &amp; Watson, C. M. (2001). Gender differences in adolescent self-esteem: An exploration of domains. </w:t>
      </w:r>
      <w:r w:rsidRPr="00FF31D4">
        <w:rPr>
          <w:rFonts w:ascii="Times New Roman" w:eastAsia="Times New Roman" w:hAnsi="Times New Roman" w:cs="Times New Roman"/>
          <w:i/>
          <w:iCs/>
          <w:lang w:val="en-GB" w:eastAsia="es-ES"/>
        </w:rPr>
        <w:t>The Journal of genetic psychology, 162</w:t>
      </w:r>
      <w:r w:rsidRPr="00FF31D4">
        <w:rPr>
          <w:rFonts w:ascii="Times New Roman" w:eastAsia="Times New Roman" w:hAnsi="Times New Roman" w:cs="Times New Roman"/>
          <w:lang w:val="en-GB" w:eastAsia="es-ES"/>
        </w:rPr>
        <w:t>(1), 93-117.</w:t>
      </w:r>
    </w:p>
    <w:p w14:paraId="34B4E6DA"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eastAsia="es-ES"/>
        </w:rPr>
      </w:pPr>
      <w:r w:rsidRPr="00FF31D4">
        <w:rPr>
          <w:rFonts w:ascii="Times New Roman" w:eastAsia="Times New Roman" w:hAnsi="Times New Roman" w:cs="Times New Roman"/>
          <w:lang w:val="en-GB" w:eastAsia="es-ES"/>
        </w:rPr>
        <w:t xml:space="preserve">Ragelienė, T., &amp; Grønhøj, A. (2020). The influence of peers′ and siblings′ on children’s and adolescents′ healthy eating behavior. </w:t>
      </w:r>
      <w:r w:rsidRPr="00FF31D4">
        <w:rPr>
          <w:rFonts w:ascii="Times New Roman" w:eastAsia="Times New Roman" w:hAnsi="Times New Roman" w:cs="Times New Roman"/>
          <w:lang w:eastAsia="es-ES"/>
        </w:rPr>
        <w:t xml:space="preserve">A systematic literature review. </w:t>
      </w:r>
      <w:r w:rsidRPr="00FF31D4">
        <w:rPr>
          <w:rFonts w:ascii="Times New Roman" w:eastAsia="Times New Roman" w:hAnsi="Times New Roman" w:cs="Times New Roman"/>
          <w:i/>
          <w:iCs/>
          <w:lang w:eastAsia="es-ES"/>
        </w:rPr>
        <w:t>Appetite, 148</w:t>
      </w:r>
      <w:r w:rsidRPr="00FF31D4">
        <w:rPr>
          <w:rFonts w:ascii="Times New Roman" w:eastAsia="Times New Roman" w:hAnsi="Times New Roman" w:cs="Times New Roman"/>
          <w:lang w:eastAsia="es-ES"/>
        </w:rPr>
        <w:t>, 104592.</w:t>
      </w:r>
    </w:p>
    <w:p w14:paraId="1B09052D"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eastAsia="es-ES"/>
        </w:rPr>
      </w:pPr>
      <w:r w:rsidRPr="00FF31D4">
        <w:rPr>
          <w:rFonts w:ascii="Times New Roman" w:eastAsia="Times New Roman" w:hAnsi="Times New Roman" w:cs="Times New Roman"/>
          <w:lang w:eastAsia="es-ES"/>
        </w:rPr>
        <w:t xml:space="preserve">Ramos, P., Jiménez-Iglesias, A., Rivera, F., &amp; Moreno, C. (2016). Evolución de la práctica de la actividad física en los adolescentes españoles. </w:t>
      </w:r>
      <w:r w:rsidRPr="00FF31D4">
        <w:rPr>
          <w:rFonts w:ascii="Times New Roman" w:eastAsia="Times New Roman" w:hAnsi="Times New Roman" w:cs="Times New Roman"/>
          <w:i/>
          <w:iCs/>
          <w:lang w:eastAsia="es-ES"/>
        </w:rPr>
        <w:t>Revista Internacional de Medicina y Ciencias de la Actividad Física y del Deporte, 16(62</w:t>
      </w:r>
      <w:r w:rsidRPr="00FF31D4">
        <w:rPr>
          <w:rFonts w:ascii="Times New Roman" w:eastAsia="Times New Roman" w:hAnsi="Times New Roman" w:cs="Times New Roman"/>
          <w:lang w:eastAsia="es-ES"/>
        </w:rPr>
        <w:t xml:space="preserve">), 335-353. </w:t>
      </w:r>
    </w:p>
    <w:p w14:paraId="441849DE"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 xml:space="preserve">Ravens-Sieberer, U. (2006). </w:t>
      </w:r>
      <w:r w:rsidRPr="00FF31D4">
        <w:rPr>
          <w:rFonts w:ascii="Times New Roman" w:eastAsia="Times New Roman" w:hAnsi="Times New Roman" w:cs="Times New Roman"/>
          <w:i/>
          <w:iCs/>
          <w:lang w:val="en-GB" w:eastAsia="es-ES"/>
        </w:rPr>
        <w:t>The Kidscreen questionnaires: quality of life questionnaires for children and adolescents</w:t>
      </w:r>
      <w:r w:rsidRPr="00FF31D4">
        <w:rPr>
          <w:rFonts w:ascii="Times New Roman" w:eastAsia="Times New Roman" w:hAnsi="Times New Roman" w:cs="Times New Roman"/>
          <w:lang w:val="en-GB" w:eastAsia="es-ES"/>
        </w:rPr>
        <w:t>.Lengerich: Pabst Science Publishers.</w:t>
      </w:r>
    </w:p>
    <w:p w14:paraId="72D69E2A"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 xml:space="preserve">Ravens-Sieberer, U., &amp; Bullinger, M. (1998). Assessing health-related quality of life in chronically ill children with the German KINDL: first psychometric and content analytical results. </w:t>
      </w:r>
      <w:r w:rsidRPr="00FF31D4">
        <w:rPr>
          <w:rFonts w:ascii="Times New Roman" w:eastAsia="Times New Roman" w:hAnsi="Times New Roman" w:cs="Times New Roman"/>
          <w:i/>
          <w:iCs/>
          <w:lang w:val="en-GB" w:eastAsia="es-ES"/>
        </w:rPr>
        <w:t>Quality of life research, 7</w:t>
      </w:r>
      <w:r w:rsidRPr="00FF31D4">
        <w:rPr>
          <w:rFonts w:ascii="Times New Roman" w:eastAsia="Times New Roman" w:hAnsi="Times New Roman" w:cs="Times New Roman"/>
          <w:lang w:val="en-GB" w:eastAsia="es-ES"/>
        </w:rPr>
        <w:t>(5), 399-407.</w:t>
      </w:r>
    </w:p>
    <w:p w14:paraId="2E7EAD44"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 xml:space="preserve">Reicks, M., Davey, C., Anderson, A. K., Banna, J., Cluskey, M., Gunther, C., Jones, B., Richards, R., Topham, G., &amp; Wong, S. S. (2019). Frequency of eating alone is associated with adolescent dietary intake, perceived food-related parenting practices and weight status: Cross-sectional Family Life, Activity, Sun, Health, and Eating (FLASHE) Study results. </w:t>
      </w:r>
      <w:r w:rsidRPr="00FF31D4">
        <w:rPr>
          <w:rFonts w:ascii="Times New Roman" w:eastAsia="Times New Roman" w:hAnsi="Times New Roman" w:cs="Times New Roman"/>
          <w:i/>
          <w:iCs/>
          <w:lang w:val="en-GB" w:eastAsia="es-ES"/>
        </w:rPr>
        <w:t>Public health nutrition, 22</w:t>
      </w:r>
      <w:r w:rsidRPr="00FF31D4">
        <w:rPr>
          <w:rFonts w:ascii="Times New Roman" w:eastAsia="Times New Roman" w:hAnsi="Times New Roman" w:cs="Times New Roman"/>
          <w:lang w:val="en-GB" w:eastAsia="es-ES"/>
        </w:rPr>
        <w:t xml:space="preserve">(9), 1555-1566. </w:t>
      </w:r>
    </w:p>
    <w:p w14:paraId="4CC9D4DB"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Ricciardelli, L. A., &amp; Yager, Z. (2015). </w:t>
      </w:r>
      <w:r w:rsidRPr="00FF31D4">
        <w:rPr>
          <w:rFonts w:ascii="Times New Roman" w:eastAsia="Times New Roman" w:hAnsi="Times New Roman" w:cs="Times New Roman"/>
          <w:i/>
          <w:iCs/>
          <w:lang w:val="en-GB" w:eastAsia="es-ES"/>
        </w:rPr>
        <w:t>Adolescence and body image: From development to preventing dissatisfaction</w:t>
      </w:r>
      <w:r w:rsidRPr="00FF31D4">
        <w:rPr>
          <w:rFonts w:ascii="Times New Roman" w:eastAsia="Times New Roman" w:hAnsi="Times New Roman" w:cs="Times New Roman"/>
          <w:lang w:val="en-GB" w:eastAsia="es-ES"/>
        </w:rPr>
        <w:t>. Routledge.</w:t>
      </w:r>
    </w:p>
    <w:p w14:paraId="75F7B683"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Rodgers, R. F., Paxton, S. J., &amp; McLean, S. A. (2014). A biopsychosocial model of body image concerns and disordered eating in early adolescent girls. </w:t>
      </w:r>
      <w:r w:rsidRPr="00FF31D4">
        <w:rPr>
          <w:rFonts w:ascii="Times New Roman" w:eastAsia="Times New Roman" w:hAnsi="Times New Roman" w:cs="Times New Roman"/>
          <w:i/>
          <w:iCs/>
          <w:lang w:val="en-GB" w:eastAsia="es-ES"/>
        </w:rPr>
        <w:t>Journal of youth and adolescence</w:t>
      </w:r>
      <w:r w:rsidRPr="00FF31D4">
        <w:rPr>
          <w:rFonts w:ascii="Times New Roman" w:eastAsia="Times New Roman" w:hAnsi="Times New Roman" w:cs="Times New Roman"/>
          <w:lang w:val="en-GB" w:eastAsia="es-ES"/>
        </w:rPr>
        <w:t>, </w:t>
      </w:r>
      <w:r w:rsidRPr="00FF31D4">
        <w:rPr>
          <w:rFonts w:ascii="Times New Roman" w:eastAsia="Times New Roman" w:hAnsi="Times New Roman" w:cs="Times New Roman"/>
          <w:i/>
          <w:iCs/>
          <w:lang w:val="en-GB" w:eastAsia="es-ES"/>
        </w:rPr>
        <w:t>43</w:t>
      </w:r>
      <w:r w:rsidRPr="00FF31D4">
        <w:rPr>
          <w:rFonts w:ascii="Times New Roman" w:eastAsia="Times New Roman" w:hAnsi="Times New Roman" w:cs="Times New Roman"/>
          <w:lang w:val="en-GB" w:eastAsia="es-ES"/>
        </w:rPr>
        <w:t>(5), 814-823.</w:t>
      </w:r>
    </w:p>
    <w:p w14:paraId="3B21C171"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Rolls, B. J., Fedoroff, I. C., &amp; Guthrie, J. F. (1991). Gender differences in eating behavior and body weight regulation. </w:t>
      </w:r>
      <w:r w:rsidRPr="00FF31D4">
        <w:rPr>
          <w:rFonts w:ascii="Times New Roman" w:eastAsia="Times New Roman" w:hAnsi="Times New Roman" w:cs="Times New Roman"/>
          <w:i/>
          <w:iCs/>
          <w:lang w:val="en-GB" w:eastAsia="es-ES"/>
        </w:rPr>
        <w:t>Health Psychology</w:t>
      </w:r>
      <w:r w:rsidRPr="00FF31D4">
        <w:rPr>
          <w:rFonts w:ascii="Times New Roman" w:eastAsia="Times New Roman" w:hAnsi="Times New Roman" w:cs="Times New Roman"/>
          <w:lang w:val="en-GB" w:eastAsia="es-ES"/>
        </w:rPr>
        <w:t>, </w:t>
      </w:r>
      <w:r w:rsidRPr="00FF31D4">
        <w:rPr>
          <w:rFonts w:ascii="Times New Roman" w:eastAsia="Times New Roman" w:hAnsi="Times New Roman" w:cs="Times New Roman"/>
          <w:i/>
          <w:iCs/>
          <w:lang w:val="en-GB" w:eastAsia="es-ES"/>
        </w:rPr>
        <w:t>10</w:t>
      </w:r>
      <w:r w:rsidRPr="00FF31D4">
        <w:rPr>
          <w:rFonts w:ascii="Times New Roman" w:eastAsia="Times New Roman" w:hAnsi="Times New Roman" w:cs="Times New Roman"/>
          <w:lang w:val="en-GB" w:eastAsia="es-ES"/>
        </w:rPr>
        <w:t>(2), 133.</w:t>
      </w:r>
    </w:p>
    <w:p w14:paraId="1906DDA7"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 xml:space="preserve">Rosselli, M., Ermini, E., Tosi, B., Boddi, M., Stefani, L., Toncelli, L., &amp; Modesti, P. A. (2020). Gender differences in barriers to physical activity among adolescents. </w:t>
      </w:r>
      <w:r w:rsidRPr="00FF31D4">
        <w:rPr>
          <w:rFonts w:ascii="Times New Roman" w:eastAsia="Times New Roman" w:hAnsi="Times New Roman" w:cs="Times New Roman"/>
          <w:i/>
          <w:iCs/>
          <w:lang w:val="en-GB" w:eastAsia="es-ES"/>
        </w:rPr>
        <w:t>Nutrition, Metabolism and Cardiovascular Diseases, 30</w:t>
      </w:r>
      <w:r w:rsidRPr="00FF31D4">
        <w:rPr>
          <w:rFonts w:ascii="Times New Roman" w:eastAsia="Times New Roman" w:hAnsi="Times New Roman" w:cs="Times New Roman"/>
          <w:lang w:val="en-GB" w:eastAsia="es-ES"/>
        </w:rPr>
        <w:t>(9), 1582-1589.</w:t>
      </w:r>
    </w:p>
    <w:p w14:paraId="3771FBBA"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 xml:space="preserve">Sandal, R.K., Goel, N.K., Sharma, M.K., Bakshi, R.K., Singh, N., &amp; Kumar, D. (2017). Prevalence of Depression, Anxiety and Stress among school going adolescent in Chandigarh. </w:t>
      </w:r>
      <w:r w:rsidRPr="00FF31D4">
        <w:rPr>
          <w:rFonts w:ascii="Times New Roman" w:eastAsia="Times New Roman" w:hAnsi="Times New Roman" w:cs="Times New Roman"/>
          <w:i/>
          <w:iCs/>
          <w:lang w:val="en-GB" w:eastAsia="es-ES"/>
        </w:rPr>
        <w:t>J Family Med Prim Care, 6</w:t>
      </w:r>
      <w:r w:rsidRPr="00FF31D4">
        <w:rPr>
          <w:rFonts w:ascii="Times New Roman" w:eastAsia="Times New Roman" w:hAnsi="Times New Roman" w:cs="Times New Roman"/>
          <w:lang w:val="en-GB" w:eastAsia="es-ES"/>
        </w:rPr>
        <w:t>(2):405-410.</w:t>
      </w:r>
    </w:p>
    <w:p w14:paraId="2AD2E0EB"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Sawyer, S. M., Afifi, R. A., Bearinger, L. H., Blakemore, S. J., Dick, B., Ezeh, A. C., &amp; Patton, G. C. (2012). Adolescence: a foundation for future health. </w:t>
      </w:r>
      <w:r w:rsidRPr="00FF31D4">
        <w:rPr>
          <w:rFonts w:ascii="Times New Roman" w:eastAsia="Times New Roman" w:hAnsi="Times New Roman" w:cs="Times New Roman"/>
          <w:i/>
          <w:iCs/>
          <w:lang w:val="en-GB" w:eastAsia="es-ES"/>
        </w:rPr>
        <w:t>The lancet</w:t>
      </w:r>
      <w:r w:rsidRPr="00FF31D4">
        <w:rPr>
          <w:rFonts w:ascii="Times New Roman" w:eastAsia="Times New Roman" w:hAnsi="Times New Roman" w:cs="Times New Roman"/>
          <w:lang w:val="en-GB" w:eastAsia="es-ES"/>
        </w:rPr>
        <w:t>, </w:t>
      </w:r>
      <w:r w:rsidRPr="00FF31D4">
        <w:rPr>
          <w:rFonts w:ascii="Times New Roman" w:eastAsia="Times New Roman" w:hAnsi="Times New Roman" w:cs="Times New Roman"/>
          <w:i/>
          <w:iCs/>
          <w:lang w:val="en-GB" w:eastAsia="es-ES"/>
        </w:rPr>
        <w:t>379</w:t>
      </w:r>
      <w:r w:rsidRPr="00FF31D4">
        <w:rPr>
          <w:rFonts w:ascii="Times New Roman" w:eastAsia="Times New Roman" w:hAnsi="Times New Roman" w:cs="Times New Roman"/>
          <w:lang w:val="en-GB" w:eastAsia="es-ES"/>
        </w:rPr>
        <w:t>(9826), 1630-1640.</w:t>
      </w:r>
    </w:p>
    <w:p w14:paraId="770B62BF"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Schulenberg, J. E., &amp; Maggs, J. L. (2002). A developmental perspective on alcohol use and heavy drinking during adolescence and the transition to young adulthood. </w:t>
      </w:r>
      <w:r w:rsidRPr="00FF31D4">
        <w:rPr>
          <w:rFonts w:ascii="Times New Roman" w:eastAsia="Times New Roman" w:hAnsi="Times New Roman" w:cs="Times New Roman"/>
          <w:i/>
          <w:iCs/>
          <w:lang w:val="en-GB" w:eastAsia="es-ES"/>
        </w:rPr>
        <w:t>Journal of Studies on Alcohol, Supplement</w:t>
      </w:r>
      <w:r w:rsidRPr="00FF31D4">
        <w:rPr>
          <w:rFonts w:ascii="Times New Roman" w:eastAsia="Times New Roman" w:hAnsi="Times New Roman" w:cs="Times New Roman"/>
          <w:lang w:val="en-GB" w:eastAsia="es-ES"/>
        </w:rPr>
        <w:t>, (14), 54-70.</w:t>
      </w:r>
    </w:p>
    <w:p w14:paraId="0AD82F41"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eastAsia="es-ES"/>
        </w:rPr>
      </w:pPr>
      <w:r w:rsidRPr="00FF31D4">
        <w:rPr>
          <w:rFonts w:ascii="Times New Roman" w:eastAsia="Times New Roman" w:hAnsi="Times New Roman" w:cs="Times New Roman"/>
          <w:lang w:val="en-GB" w:eastAsia="es-ES"/>
        </w:rPr>
        <w:t xml:space="preserve">Sepúlveda, R., Molina, T., Molina, R., Martínez, V., González, E., Montaño, R., &amp; Hidalgo-Rasmussen, C. (2013). </w:t>
      </w:r>
      <w:r w:rsidRPr="00FF31D4">
        <w:rPr>
          <w:rFonts w:ascii="Times New Roman" w:eastAsia="Times New Roman" w:hAnsi="Times New Roman" w:cs="Times New Roman"/>
          <w:lang w:eastAsia="es-ES"/>
        </w:rPr>
        <w:t xml:space="preserve">Adaptación transcultural y validación de un instrumento de calidad de vida relacionada con la salud en adolescentes chilenos. </w:t>
      </w:r>
      <w:r w:rsidRPr="00FF31D4">
        <w:rPr>
          <w:rFonts w:ascii="Times New Roman" w:eastAsia="Times New Roman" w:hAnsi="Times New Roman" w:cs="Times New Roman"/>
          <w:i/>
          <w:iCs/>
          <w:lang w:eastAsia="es-ES"/>
        </w:rPr>
        <w:t>Revista médica de Chile, 141</w:t>
      </w:r>
      <w:r w:rsidRPr="00FF31D4">
        <w:rPr>
          <w:rFonts w:ascii="Times New Roman" w:eastAsia="Times New Roman" w:hAnsi="Times New Roman" w:cs="Times New Roman"/>
          <w:lang w:eastAsia="es-ES"/>
        </w:rPr>
        <w:t>(10), 1283-1292.</w:t>
      </w:r>
    </w:p>
    <w:p w14:paraId="22997974"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eastAsia="es-ES"/>
        </w:rPr>
        <w:t xml:space="preserve">Serra-Majem, L., Ribas, L., Ngo, J., Ortega, R. M., García, A., Pérez-Rodrigo, C., &amp; Aranceta, J. (2004). </w:t>
      </w:r>
      <w:r w:rsidRPr="00FF31D4">
        <w:rPr>
          <w:rFonts w:ascii="Times New Roman" w:eastAsia="Times New Roman" w:hAnsi="Times New Roman" w:cs="Times New Roman"/>
          <w:lang w:val="en-GB" w:eastAsia="es-ES"/>
        </w:rPr>
        <w:t xml:space="preserve">Food, youth and the Mediterranean diet in Spain. Development of KIDMED, Mediterranean Diet Quality Index in children and adolescents. </w:t>
      </w:r>
      <w:r w:rsidRPr="00FF31D4">
        <w:rPr>
          <w:rFonts w:ascii="Times New Roman" w:eastAsia="Times New Roman" w:hAnsi="Times New Roman" w:cs="Times New Roman"/>
          <w:i/>
          <w:iCs/>
          <w:lang w:val="en-GB" w:eastAsia="es-ES"/>
        </w:rPr>
        <w:t>Public health nutrition, 7</w:t>
      </w:r>
      <w:r w:rsidRPr="00FF31D4">
        <w:rPr>
          <w:rFonts w:ascii="Times New Roman" w:eastAsia="Times New Roman" w:hAnsi="Times New Roman" w:cs="Times New Roman"/>
          <w:lang w:val="en-GB" w:eastAsia="es-ES"/>
        </w:rPr>
        <w:t>(7), 931-935.</w:t>
      </w:r>
    </w:p>
    <w:p w14:paraId="74D50A64"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eastAsia="es-ES"/>
        </w:rPr>
      </w:pPr>
      <w:r w:rsidRPr="00FF31D4">
        <w:rPr>
          <w:rFonts w:ascii="Times New Roman" w:eastAsia="Times New Roman" w:hAnsi="Times New Roman" w:cs="Times New Roman"/>
          <w:lang w:val="en-GB" w:eastAsia="es-ES"/>
        </w:rPr>
        <w:t xml:space="preserve">Silva, A. F. D., Martins, P. C., Gonçalves, E. C. D. A., Farias, J. M. D., &amp; Silva, D. A. S. (2018). Prevalence and factors associated with sedentary behavior in the school recess among adolescents. </w:t>
      </w:r>
      <w:r w:rsidRPr="00FF31D4">
        <w:rPr>
          <w:rFonts w:ascii="Times New Roman" w:eastAsia="Times New Roman" w:hAnsi="Times New Roman" w:cs="Times New Roman"/>
          <w:i/>
          <w:iCs/>
          <w:lang w:eastAsia="es-ES"/>
        </w:rPr>
        <w:t>Motriz: Revista de Educação Física, 24</w:t>
      </w:r>
      <w:r w:rsidRPr="00FF31D4">
        <w:rPr>
          <w:rFonts w:ascii="Times New Roman" w:eastAsia="Times New Roman" w:hAnsi="Times New Roman" w:cs="Times New Roman"/>
          <w:lang w:eastAsia="es-ES"/>
        </w:rPr>
        <w:t>(4):e101834.</w:t>
      </w:r>
    </w:p>
    <w:p w14:paraId="2BFC8176"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eastAsia="es-ES"/>
        </w:rPr>
        <w:t xml:space="preserve">Simmons, R. G., &amp; Blyth, D. A. (2017). </w:t>
      </w:r>
      <w:r w:rsidRPr="00FF31D4">
        <w:rPr>
          <w:rFonts w:ascii="Times New Roman" w:eastAsia="Times New Roman" w:hAnsi="Times New Roman" w:cs="Times New Roman"/>
          <w:i/>
          <w:iCs/>
          <w:lang w:val="en-GB" w:eastAsia="es-ES"/>
        </w:rPr>
        <w:t>Moving into adolescence: The impact of pubertal change and school context</w:t>
      </w:r>
      <w:r w:rsidRPr="00FF31D4">
        <w:rPr>
          <w:rFonts w:ascii="Times New Roman" w:eastAsia="Times New Roman" w:hAnsi="Times New Roman" w:cs="Times New Roman"/>
          <w:lang w:val="en-GB" w:eastAsia="es-ES"/>
        </w:rPr>
        <w:t>. Routledge.</w:t>
      </w:r>
    </w:p>
    <w:p w14:paraId="10FF4B56"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 xml:space="preserve">Sivertsen, B., Harvey, A.G., Pallesen, S., &amp; Hysing, M. (2017). Trajectories of sleep problems from childhood to adolescence: a population‐based longitudinal study from Norway. </w:t>
      </w:r>
      <w:r w:rsidRPr="00FF31D4">
        <w:rPr>
          <w:rFonts w:ascii="Times New Roman" w:eastAsia="Times New Roman" w:hAnsi="Times New Roman" w:cs="Times New Roman"/>
          <w:i/>
          <w:iCs/>
          <w:lang w:val="en-GB" w:eastAsia="es-ES"/>
        </w:rPr>
        <w:t>J Sleep ReS, 26</w:t>
      </w:r>
      <w:r w:rsidRPr="00FF31D4">
        <w:rPr>
          <w:rFonts w:ascii="Times New Roman" w:eastAsia="Times New Roman" w:hAnsi="Times New Roman" w:cs="Times New Roman"/>
          <w:lang w:val="en-GB" w:eastAsia="es-ES"/>
        </w:rPr>
        <w:t>(1):55-63.</w:t>
      </w:r>
    </w:p>
    <w:p w14:paraId="2CF9CFF3"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Slater, A., &amp; Tiggemann, M. (2010). “Uncool to do sport”: A focus group study of adolescent girls’ reasons for withdrawing from physical activity. </w:t>
      </w:r>
      <w:r w:rsidRPr="00FF31D4">
        <w:rPr>
          <w:rFonts w:ascii="Times New Roman" w:eastAsia="Times New Roman" w:hAnsi="Times New Roman" w:cs="Times New Roman"/>
          <w:i/>
          <w:iCs/>
          <w:lang w:val="en-GB" w:eastAsia="es-ES"/>
        </w:rPr>
        <w:t>Psychology of sport and exercise</w:t>
      </w:r>
      <w:r w:rsidRPr="00FF31D4">
        <w:rPr>
          <w:rFonts w:ascii="Times New Roman" w:eastAsia="Times New Roman" w:hAnsi="Times New Roman" w:cs="Times New Roman"/>
          <w:lang w:val="en-GB" w:eastAsia="es-ES"/>
        </w:rPr>
        <w:t>, </w:t>
      </w:r>
      <w:r w:rsidRPr="00FF31D4">
        <w:rPr>
          <w:rFonts w:ascii="Times New Roman" w:eastAsia="Times New Roman" w:hAnsi="Times New Roman" w:cs="Times New Roman"/>
          <w:i/>
          <w:iCs/>
          <w:lang w:val="en-GB" w:eastAsia="es-ES"/>
        </w:rPr>
        <w:t>11</w:t>
      </w:r>
      <w:r w:rsidRPr="00FF31D4">
        <w:rPr>
          <w:rFonts w:ascii="Times New Roman" w:eastAsia="Times New Roman" w:hAnsi="Times New Roman" w:cs="Times New Roman"/>
          <w:lang w:val="en-GB" w:eastAsia="es-ES"/>
        </w:rPr>
        <w:t>(6), 619-626.</w:t>
      </w:r>
    </w:p>
    <w:p w14:paraId="06AB6F7A"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Sørensen, K., Pelikan, J. M., Röthlin, F., Ganahl, K., Slonska, Z., Doyle, G., Fullam, J., Kondilis, B., Agrafiotia, D., Uiters, EL., Falcon, M., Mensing, M., Tchamov, K., Broucke, S., &amp; Brand, H. (2015). Health literacy in Europe: comparative results of the European health literacy survey (HLS-EU). </w:t>
      </w:r>
      <w:r w:rsidRPr="00FF31D4">
        <w:rPr>
          <w:rFonts w:ascii="Times New Roman" w:eastAsia="Times New Roman" w:hAnsi="Times New Roman" w:cs="Times New Roman"/>
          <w:i/>
          <w:iCs/>
          <w:lang w:val="en-GB" w:eastAsia="es-ES"/>
        </w:rPr>
        <w:t>European journal of public health</w:t>
      </w:r>
      <w:r w:rsidRPr="00FF31D4">
        <w:rPr>
          <w:rFonts w:ascii="Times New Roman" w:eastAsia="Times New Roman" w:hAnsi="Times New Roman" w:cs="Times New Roman"/>
          <w:lang w:val="en-GB" w:eastAsia="es-ES"/>
        </w:rPr>
        <w:t>, </w:t>
      </w:r>
      <w:r w:rsidRPr="00FF31D4">
        <w:rPr>
          <w:rFonts w:ascii="Times New Roman" w:eastAsia="Times New Roman" w:hAnsi="Times New Roman" w:cs="Times New Roman"/>
          <w:i/>
          <w:iCs/>
          <w:lang w:val="en-GB" w:eastAsia="es-ES"/>
        </w:rPr>
        <w:t>25</w:t>
      </w:r>
      <w:r w:rsidRPr="00FF31D4">
        <w:rPr>
          <w:rFonts w:ascii="Times New Roman" w:eastAsia="Times New Roman" w:hAnsi="Times New Roman" w:cs="Times New Roman"/>
          <w:lang w:val="en-GB" w:eastAsia="es-ES"/>
        </w:rPr>
        <w:t>(6), 1053-1058.</w:t>
      </w:r>
    </w:p>
    <w:p w14:paraId="79E058C2"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Steinberg, L. (2008). A social neuroscience perspective on adolescent risk-taking. </w:t>
      </w:r>
      <w:r w:rsidRPr="00FF31D4">
        <w:rPr>
          <w:rFonts w:ascii="Times New Roman" w:eastAsia="Times New Roman" w:hAnsi="Times New Roman" w:cs="Times New Roman"/>
          <w:i/>
          <w:iCs/>
          <w:lang w:val="en-GB" w:eastAsia="es-ES"/>
        </w:rPr>
        <w:t>Developmental review</w:t>
      </w:r>
      <w:r w:rsidRPr="00FF31D4">
        <w:rPr>
          <w:rFonts w:ascii="Times New Roman" w:eastAsia="Times New Roman" w:hAnsi="Times New Roman" w:cs="Times New Roman"/>
          <w:lang w:val="en-GB" w:eastAsia="es-ES"/>
        </w:rPr>
        <w:t>, </w:t>
      </w:r>
      <w:r w:rsidRPr="00FF31D4">
        <w:rPr>
          <w:rFonts w:ascii="Times New Roman" w:eastAsia="Times New Roman" w:hAnsi="Times New Roman" w:cs="Times New Roman"/>
          <w:i/>
          <w:iCs/>
          <w:lang w:val="en-GB" w:eastAsia="es-ES"/>
        </w:rPr>
        <w:t>28</w:t>
      </w:r>
      <w:r w:rsidRPr="00FF31D4">
        <w:rPr>
          <w:rFonts w:ascii="Times New Roman" w:eastAsia="Times New Roman" w:hAnsi="Times New Roman" w:cs="Times New Roman"/>
          <w:lang w:val="en-GB" w:eastAsia="es-ES"/>
        </w:rPr>
        <w:t>(1), 78-106.</w:t>
      </w:r>
    </w:p>
    <w:p w14:paraId="2EBA0895"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 xml:space="preserve">Stewart, A., Marfell, M., &amp; Olds, T. (2011). </w:t>
      </w:r>
      <w:r w:rsidRPr="00FF31D4">
        <w:rPr>
          <w:rFonts w:ascii="Times New Roman" w:eastAsia="Times New Roman" w:hAnsi="Times New Roman" w:cs="Times New Roman"/>
          <w:i/>
          <w:iCs/>
          <w:lang w:val="en-GB" w:eastAsia="es-ES"/>
        </w:rPr>
        <w:t>International standards for anthropometric assessment</w:t>
      </w:r>
      <w:r w:rsidRPr="00FF31D4">
        <w:rPr>
          <w:rFonts w:ascii="Times New Roman" w:eastAsia="Times New Roman" w:hAnsi="Times New Roman" w:cs="Times New Roman"/>
          <w:lang w:val="en-GB" w:eastAsia="es-ES"/>
        </w:rPr>
        <w:t xml:space="preserve">. Lower Hutt, New Zealand: ISAK. </w:t>
      </w:r>
    </w:p>
    <w:p w14:paraId="31E80A94"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 xml:space="preserve">Tarp, J., Child, A., White, T., Westgate, K., Bugge, A., Grøntved, A., Wedderkopp, N., Andersen, L. B., Cardon, G., Davey, R., Janz, K. F., Kriemler, S., Northstone, K., Page, A. S., Puder, J. J., Reilly, J. J., Sardinha, L. B., van Sluijs, E. M. F., Ekelund, U., Wijndaele, K., Brage, S. (2018). Physical activity intensity, bout-duration, and cardiometabolic risk markers in children and adolescents. </w:t>
      </w:r>
      <w:r w:rsidRPr="00FF31D4">
        <w:rPr>
          <w:rFonts w:ascii="Times New Roman" w:eastAsia="Times New Roman" w:hAnsi="Times New Roman" w:cs="Times New Roman"/>
          <w:i/>
          <w:iCs/>
          <w:lang w:val="en-GB" w:eastAsia="es-ES"/>
        </w:rPr>
        <w:t>International journal of obesity, 42</w:t>
      </w:r>
      <w:r w:rsidRPr="00FF31D4">
        <w:rPr>
          <w:rFonts w:ascii="Times New Roman" w:eastAsia="Times New Roman" w:hAnsi="Times New Roman" w:cs="Times New Roman"/>
          <w:lang w:val="en-GB" w:eastAsia="es-ES"/>
        </w:rPr>
        <w:t>(9), 1639-1650.</w:t>
      </w:r>
    </w:p>
    <w:p w14:paraId="2DEAB06D"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 xml:space="preserve">Taylor, D. J., Jenni, O. G., Acebo, C., &amp; Carskadon, M. A. (2005). Sleep tendency during extended wakefulness: insights into adolescent sleep regulation and behavior. </w:t>
      </w:r>
      <w:r w:rsidRPr="00FF31D4">
        <w:rPr>
          <w:rFonts w:ascii="Times New Roman" w:eastAsia="Times New Roman" w:hAnsi="Times New Roman" w:cs="Times New Roman"/>
          <w:i/>
          <w:iCs/>
          <w:lang w:val="en-GB" w:eastAsia="es-ES"/>
        </w:rPr>
        <w:t>Journal of sleep research, 14</w:t>
      </w:r>
      <w:r w:rsidRPr="00FF31D4">
        <w:rPr>
          <w:rFonts w:ascii="Times New Roman" w:eastAsia="Times New Roman" w:hAnsi="Times New Roman" w:cs="Times New Roman"/>
          <w:lang w:val="en-GB" w:eastAsia="es-ES"/>
        </w:rPr>
        <w:t>(3), 239-244.</w:t>
      </w:r>
    </w:p>
    <w:p w14:paraId="1F7F0537"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 xml:space="preserve">Theurel, A., &amp; Gentaz, E. (2018). The regulation of emotions in adolescents: Age differences and emotion-specific patterns. </w:t>
      </w:r>
      <w:r w:rsidRPr="00FF31D4">
        <w:rPr>
          <w:rFonts w:ascii="Times New Roman" w:eastAsia="Times New Roman" w:hAnsi="Times New Roman" w:cs="Times New Roman"/>
          <w:i/>
          <w:iCs/>
          <w:lang w:val="en-GB" w:eastAsia="es-ES"/>
        </w:rPr>
        <w:t>PLoS One, 13</w:t>
      </w:r>
      <w:r w:rsidRPr="00FF31D4">
        <w:rPr>
          <w:rFonts w:ascii="Times New Roman" w:eastAsia="Times New Roman" w:hAnsi="Times New Roman" w:cs="Times New Roman"/>
          <w:lang w:val="en-GB" w:eastAsia="es-ES"/>
        </w:rPr>
        <w:t>(6):e0195501.</w:t>
      </w:r>
    </w:p>
    <w:p w14:paraId="66F7CA9F"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eastAsia="es-ES"/>
        </w:rPr>
      </w:pPr>
      <w:r w:rsidRPr="00FF31D4">
        <w:rPr>
          <w:rFonts w:ascii="Times New Roman" w:eastAsia="Times New Roman" w:hAnsi="Times New Roman" w:cs="Times New Roman"/>
          <w:lang w:val="en-GB" w:eastAsia="es-ES"/>
        </w:rPr>
        <w:t xml:space="preserve">Twenge, J. M., Martin, G. N., &amp; Spitzberg, B. H. (2019). Trends in US Adolescents’ media use, 1976–2016: The rise of digital media, the decline of TV, and the (near) demise of print. </w:t>
      </w:r>
      <w:r w:rsidRPr="00FF31D4">
        <w:rPr>
          <w:rFonts w:ascii="Times New Roman" w:eastAsia="Times New Roman" w:hAnsi="Times New Roman" w:cs="Times New Roman"/>
          <w:i/>
          <w:iCs/>
          <w:lang w:eastAsia="es-ES"/>
        </w:rPr>
        <w:t>Psychology of Popular Media Culture, 8</w:t>
      </w:r>
      <w:r w:rsidRPr="00FF31D4">
        <w:rPr>
          <w:rFonts w:ascii="Times New Roman" w:eastAsia="Times New Roman" w:hAnsi="Times New Roman" w:cs="Times New Roman"/>
          <w:lang w:eastAsia="es-ES"/>
        </w:rPr>
        <w:t>(4), 329.</w:t>
      </w:r>
    </w:p>
    <w:p w14:paraId="4B252614"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eastAsia="es-ES"/>
        </w:rPr>
        <w:t xml:space="preserve">Vernetta, M., Peláez, E. M., Ariza, L., &amp; López Bedoya, J. (2018). Dieta mediterránea, actividad física e índice de masa corporal en adolescentes rurales de Granada (España). </w:t>
      </w:r>
      <w:r w:rsidRPr="00FF31D4">
        <w:rPr>
          <w:rFonts w:ascii="Times New Roman" w:eastAsia="Times New Roman" w:hAnsi="Times New Roman" w:cs="Times New Roman"/>
          <w:i/>
          <w:iCs/>
          <w:lang w:val="en-GB" w:eastAsia="es-ES"/>
        </w:rPr>
        <w:t>Nutr Clín Diet Hosp, 38</w:t>
      </w:r>
      <w:r w:rsidRPr="00FF31D4">
        <w:rPr>
          <w:rFonts w:ascii="Times New Roman" w:eastAsia="Times New Roman" w:hAnsi="Times New Roman" w:cs="Times New Roman"/>
          <w:lang w:val="en-GB" w:eastAsia="es-ES"/>
        </w:rPr>
        <w:t>(1), 71-80. doi:10.12873/381epelaez</w:t>
      </w:r>
    </w:p>
    <w:p w14:paraId="6B32B1D1"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 xml:space="preserve">Viner, R. M., Ross, D., Hardy, R., Kuh, D., Power, C., Johnson, A., Wellings, K., McCambridge, J., Cole, T., Kelly, Y., &amp; Batty, G. D. (2015). Life course epidemiology: recognising the importance of adolescence. </w:t>
      </w:r>
      <w:r w:rsidRPr="00FF31D4">
        <w:rPr>
          <w:rFonts w:ascii="Times New Roman" w:eastAsia="Times New Roman" w:hAnsi="Times New Roman" w:cs="Times New Roman"/>
          <w:i/>
          <w:iCs/>
          <w:lang w:val="en-GB" w:eastAsia="es-ES"/>
        </w:rPr>
        <w:t>J Epidemiol Community Health, 69</w:t>
      </w:r>
      <w:r w:rsidRPr="00FF31D4">
        <w:rPr>
          <w:rFonts w:ascii="Times New Roman" w:eastAsia="Times New Roman" w:hAnsi="Times New Roman" w:cs="Times New Roman"/>
          <w:lang w:val="en-GB" w:eastAsia="es-ES"/>
        </w:rPr>
        <w:t>(8), 719-720.</w:t>
      </w:r>
    </w:p>
    <w:p w14:paraId="12DC95FD"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 xml:space="preserve">Wang, S.B., Haynos, A.F., Wall, M.M., Chen, C., Eisenberg, M.E., &amp; Neumark-Sztainer, D. (2019). Fifteen-year prevalence, trajectories, and predictors of body dissatisfaction from adolescence to middle adulthood. </w:t>
      </w:r>
      <w:r w:rsidRPr="00FF31D4">
        <w:rPr>
          <w:rFonts w:ascii="Times New Roman" w:eastAsia="Times New Roman" w:hAnsi="Times New Roman" w:cs="Times New Roman"/>
          <w:i/>
          <w:iCs/>
          <w:lang w:val="en-GB" w:eastAsia="es-ES"/>
        </w:rPr>
        <w:t>Clin Psychol Sci, 7</w:t>
      </w:r>
      <w:r w:rsidRPr="00FF31D4">
        <w:rPr>
          <w:rFonts w:ascii="Times New Roman" w:eastAsia="Times New Roman" w:hAnsi="Times New Roman" w:cs="Times New Roman"/>
          <w:lang w:val="en-GB" w:eastAsia="es-ES"/>
        </w:rPr>
        <w:t>(6):1403-1415.</w:t>
      </w:r>
    </w:p>
    <w:p w14:paraId="3372D684"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 xml:space="preserve">Watts, A., Berge, J. M., Loth, K., Larson, N., &amp; Neumark-Sztainer, D. (2018). The transmission of family food and mealtime practices from adolescence to adulthood: longitudinal findings from project EAT-IV. </w:t>
      </w:r>
      <w:r w:rsidRPr="00FF31D4">
        <w:rPr>
          <w:rFonts w:ascii="Times New Roman" w:eastAsia="Times New Roman" w:hAnsi="Times New Roman" w:cs="Times New Roman"/>
          <w:i/>
          <w:iCs/>
          <w:lang w:val="en-GB" w:eastAsia="es-ES"/>
        </w:rPr>
        <w:t>Journal of nutrition education and behavior, 50</w:t>
      </w:r>
      <w:r w:rsidRPr="00FF31D4">
        <w:rPr>
          <w:rFonts w:ascii="Times New Roman" w:eastAsia="Times New Roman" w:hAnsi="Times New Roman" w:cs="Times New Roman"/>
          <w:lang w:val="en-GB" w:eastAsia="es-ES"/>
        </w:rPr>
        <w:t>(2), 141-147.</w:t>
      </w:r>
    </w:p>
    <w:p w14:paraId="579C43FE"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Wiium, N., Breivik, K., &amp; Wold, B. (2015). Growth trajectories of health behaviors from adolescence through young adulthood. </w:t>
      </w:r>
      <w:r w:rsidRPr="00FF31D4">
        <w:rPr>
          <w:rFonts w:ascii="Times New Roman" w:eastAsia="Times New Roman" w:hAnsi="Times New Roman" w:cs="Times New Roman"/>
          <w:i/>
          <w:iCs/>
          <w:lang w:val="en-GB" w:eastAsia="es-ES"/>
        </w:rPr>
        <w:t>International journal of environmental research and public health</w:t>
      </w:r>
      <w:r w:rsidRPr="00FF31D4">
        <w:rPr>
          <w:rFonts w:ascii="Times New Roman" w:eastAsia="Times New Roman" w:hAnsi="Times New Roman" w:cs="Times New Roman"/>
          <w:lang w:val="en-GB" w:eastAsia="es-ES"/>
        </w:rPr>
        <w:t>, </w:t>
      </w:r>
      <w:r w:rsidRPr="00FF31D4">
        <w:rPr>
          <w:rFonts w:ascii="Times New Roman" w:eastAsia="Times New Roman" w:hAnsi="Times New Roman" w:cs="Times New Roman"/>
          <w:i/>
          <w:iCs/>
          <w:lang w:val="en-GB" w:eastAsia="es-ES"/>
        </w:rPr>
        <w:t>12</w:t>
      </w:r>
      <w:r w:rsidRPr="00FF31D4">
        <w:rPr>
          <w:rFonts w:ascii="Times New Roman" w:eastAsia="Times New Roman" w:hAnsi="Times New Roman" w:cs="Times New Roman"/>
          <w:lang w:val="en-GB" w:eastAsia="es-ES"/>
        </w:rPr>
        <w:t>(11), 13711-13729.</w:t>
      </w:r>
    </w:p>
    <w:p w14:paraId="20E95066"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 xml:space="preserve">Winpenny, E. M., van Sluijs, E. M., White, M., Klepp, K. I., Wold, B., &amp; Lien, N. (2018). Changes in diet through adolescence and early adulthood: longitudinal trajectories and association with key life transitions. </w:t>
      </w:r>
      <w:r w:rsidRPr="00FF31D4">
        <w:rPr>
          <w:rFonts w:ascii="Times New Roman" w:eastAsia="Times New Roman" w:hAnsi="Times New Roman" w:cs="Times New Roman"/>
          <w:i/>
          <w:iCs/>
          <w:lang w:val="en-GB" w:eastAsia="es-ES"/>
        </w:rPr>
        <w:t>International Journal of Behavioral Nutrition and Physical Activity, 15</w:t>
      </w:r>
      <w:r w:rsidRPr="00FF31D4">
        <w:rPr>
          <w:rFonts w:ascii="Times New Roman" w:eastAsia="Times New Roman" w:hAnsi="Times New Roman" w:cs="Times New Roman"/>
          <w:lang w:val="en-GB" w:eastAsia="es-ES"/>
        </w:rPr>
        <w:t>(1), 1-9.</w:t>
      </w:r>
    </w:p>
    <w:p w14:paraId="31BE2CD3"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 xml:space="preserve">Witt, P. A., &amp; Dangi, T. B. (2018). Why children/youth drop out of sports. </w:t>
      </w:r>
      <w:r w:rsidRPr="00FF31D4">
        <w:rPr>
          <w:rFonts w:ascii="Times New Roman" w:eastAsia="Times New Roman" w:hAnsi="Times New Roman" w:cs="Times New Roman"/>
          <w:i/>
          <w:iCs/>
          <w:lang w:val="en-GB" w:eastAsia="es-ES"/>
        </w:rPr>
        <w:t>Journal of Park and Recreation Administration, 36(</w:t>
      </w:r>
      <w:r w:rsidRPr="00FF31D4">
        <w:rPr>
          <w:rFonts w:ascii="Times New Roman" w:eastAsia="Times New Roman" w:hAnsi="Times New Roman" w:cs="Times New Roman"/>
          <w:lang w:val="en-GB" w:eastAsia="es-ES"/>
        </w:rPr>
        <w:t>3), 191-199.</w:t>
      </w:r>
    </w:p>
    <w:p w14:paraId="67CA7756"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 xml:space="preserve">Wood, C. L., Lane, L. C., &amp; Cheetham, T. (2019). Puberty: Normal physiology (brief overview). </w:t>
      </w:r>
      <w:r w:rsidRPr="00FF31D4">
        <w:rPr>
          <w:rFonts w:ascii="Times New Roman" w:eastAsia="Times New Roman" w:hAnsi="Times New Roman" w:cs="Times New Roman"/>
          <w:i/>
          <w:iCs/>
          <w:lang w:val="en-GB" w:eastAsia="es-ES"/>
        </w:rPr>
        <w:t>Best Practice &amp; Research Clinical Endocrinology &amp; Metabolism, 33</w:t>
      </w:r>
      <w:r w:rsidRPr="00FF31D4">
        <w:rPr>
          <w:rFonts w:ascii="Times New Roman" w:eastAsia="Times New Roman" w:hAnsi="Times New Roman" w:cs="Times New Roman"/>
          <w:lang w:val="en-GB" w:eastAsia="es-ES"/>
        </w:rPr>
        <w:t>(3), 101265.</w:t>
      </w:r>
    </w:p>
    <w:p w14:paraId="5D511288"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World Health Organization. (1999). </w:t>
      </w:r>
      <w:r w:rsidRPr="00FF31D4">
        <w:rPr>
          <w:rFonts w:ascii="Times New Roman" w:eastAsia="Times New Roman" w:hAnsi="Times New Roman" w:cs="Times New Roman"/>
          <w:i/>
          <w:iCs/>
          <w:lang w:val="en-GB" w:eastAsia="es-ES"/>
        </w:rPr>
        <w:t>Programming for adolescent health and development: Report of a WHO/UNFPA/UNICEF study group on programming for adolescent health</w:t>
      </w:r>
      <w:r w:rsidRPr="00FF31D4">
        <w:rPr>
          <w:rFonts w:ascii="Times New Roman" w:eastAsia="Times New Roman" w:hAnsi="Times New Roman" w:cs="Times New Roman"/>
          <w:lang w:val="en-GB" w:eastAsia="es-ES"/>
        </w:rPr>
        <w:t>. World Health Organization.</w:t>
      </w:r>
    </w:p>
    <w:p w14:paraId="0A40C1A7"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 xml:space="preserve">Yu, M. V. B., Johnson, H. E., Deutsch, N. L., &amp; Varga, S. M. (2018). “She calls me by my last name”: Exploring adolescent perceptions of positive teacher-student relationships. </w:t>
      </w:r>
      <w:r w:rsidRPr="00FF31D4">
        <w:rPr>
          <w:rFonts w:ascii="Times New Roman" w:eastAsia="Times New Roman" w:hAnsi="Times New Roman" w:cs="Times New Roman"/>
          <w:i/>
          <w:iCs/>
          <w:lang w:val="en-GB" w:eastAsia="es-ES"/>
        </w:rPr>
        <w:t>Journal of Adolescent Research, 33</w:t>
      </w:r>
      <w:r w:rsidRPr="00FF31D4">
        <w:rPr>
          <w:rFonts w:ascii="Times New Roman" w:eastAsia="Times New Roman" w:hAnsi="Times New Roman" w:cs="Times New Roman"/>
          <w:lang w:val="en-GB" w:eastAsia="es-ES"/>
        </w:rPr>
        <w:t>(3), 332-362.</w:t>
      </w:r>
    </w:p>
    <w:p w14:paraId="7151D9C3" w14:textId="77777777" w:rsidR="00AC7436" w:rsidRPr="00FF31D4" w:rsidRDefault="00005B7F" w:rsidP="00FF31D4">
      <w:pPr>
        <w:pStyle w:val="Textocomentario"/>
        <w:spacing w:line="480" w:lineRule="auto"/>
        <w:ind w:hanging="709"/>
        <w:jc w:val="both"/>
        <w:rPr>
          <w:rFonts w:ascii="Times New Roman" w:eastAsia="Times New Roman" w:hAnsi="Times New Roman" w:cs="Times New Roman"/>
          <w:lang w:val="en-GB" w:eastAsia="es-ES"/>
        </w:rPr>
      </w:pPr>
      <w:r w:rsidRPr="00FF31D4">
        <w:rPr>
          <w:rFonts w:ascii="Times New Roman" w:eastAsia="Times New Roman" w:hAnsi="Times New Roman" w:cs="Times New Roman"/>
          <w:lang w:val="en-GB" w:eastAsia="es-ES"/>
        </w:rPr>
        <w:t>Zuckerman, M., Li, C., &amp; Hall, J. A. (2016). When men and women differ in self-esteem and when they don’t: A meta-analysis</w:t>
      </w:r>
      <w:r w:rsidRPr="00FF31D4">
        <w:rPr>
          <w:rFonts w:ascii="Times New Roman" w:eastAsia="Times New Roman" w:hAnsi="Times New Roman" w:cs="Times New Roman"/>
          <w:i/>
          <w:iCs/>
          <w:lang w:val="en-GB" w:eastAsia="es-ES"/>
        </w:rPr>
        <w:t>. Journal of Research in Personality, 64</w:t>
      </w:r>
      <w:r w:rsidRPr="00FF31D4">
        <w:rPr>
          <w:rFonts w:ascii="Times New Roman" w:eastAsia="Times New Roman" w:hAnsi="Times New Roman" w:cs="Times New Roman"/>
          <w:lang w:val="en-GB" w:eastAsia="es-ES"/>
        </w:rPr>
        <w:t>, 34-51</w:t>
      </w:r>
      <w:bookmarkEnd w:id="10"/>
      <w:r w:rsidRPr="00FF31D4">
        <w:rPr>
          <w:rFonts w:ascii="Times New Roman" w:eastAsia="Times New Roman" w:hAnsi="Times New Roman" w:cs="Times New Roman"/>
          <w:lang w:val="en-GB" w:eastAsia="es-ES"/>
        </w:rPr>
        <w:t>.</w:t>
      </w:r>
    </w:p>
    <w:sectPr w:rsidR="00AC7436" w:rsidRPr="00FF31D4">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2D6323F" w14:textId="77777777" w:rsidR="00A17D63" w:rsidRDefault="00A17D63">
      <w:pPr>
        <w:spacing w:line="240" w:lineRule="auto"/>
      </w:pPr>
      <w:r>
        <w:separator/>
      </w:r>
    </w:p>
  </w:endnote>
  <w:endnote w:type="continuationSeparator" w:id="0">
    <w:p w14:paraId="095277E8" w14:textId="77777777" w:rsidR="00A17D63" w:rsidRDefault="00A17D6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CD5D023" w14:textId="77777777" w:rsidR="00A17D63" w:rsidRDefault="00A17D63">
      <w:pPr>
        <w:spacing w:after="0"/>
      </w:pPr>
      <w:r>
        <w:separator/>
      </w:r>
    </w:p>
  </w:footnote>
  <w:footnote w:type="continuationSeparator" w:id="0">
    <w:p w14:paraId="4AEF4CB6" w14:textId="77777777" w:rsidR="00A17D63" w:rsidRDefault="00A17D63">
      <w:pPr>
        <w:spacing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35EA1"/>
    <w:rsid w:val="000019D6"/>
    <w:rsid w:val="00005B7F"/>
    <w:rsid w:val="0001785A"/>
    <w:rsid w:val="00032270"/>
    <w:rsid w:val="0003244B"/>
    <w:rsid w:val="00032809"/>
    <w:rsid w:val="00046148"/>
    <w:rsid w:val="00051C21"/>
    <w:rsid w:val="0005295C"/>
    <w:rsid w:val="00057B8E"/>
    <w:rsid w:val="00063D04"/>
    <w:rsid w:val="00063E51"/>
    <w:rsid w:val="000737A2"/>
    <w:rsid w:val="00081B66"/>
    <w:rsid w:val="00082873"/>
    <w:rsid w:val="00085204"/>
    <w:rsid w:val="00091836"/>
    <w:rsid w:val="0009284B"/>
    <w:rsid w:val="000A11CC"/>
    <w:rsid w:val="000A33F9"/>
    <w:rsid w:val="000B46CB"/>
    <w:rsid w:val="000B5FE7"/>
    <w:rsid w:val="000C7BF8"/>
    <w:rsid w:val="000D170B"/>
    <w:rsid w:val="000D2378"/>
    <w:rsid w:val="000D6344"/>
    <w:rsid w:val="000E16DD"/>
    <w:rsid w:val="000E1C77"/>
    <w:rsid w:val="000F3EC7"/>
    <w:rsid w:val="000F525A"/>
    <w:rsid w:val="000F62B1"/>
    <w:rsid w:val="001008BE"/>
    <w:rsid w:val="00101959"/>
    <w:rsid w:val="001026F3"/>
    <w:rsid w:val="00106FD6"/>
    <w:rsid w:val="001112BC"/>
    <w:rsid w:val="00113B86"/>
    <w:rsid w:val="00113D43"/>
    <w:rsid w:val="00115569"/>
    <w:rsid w:val="00116AC3"/>
    <w:rsid w:val="00117200"/>
    <w:rsid w:val="001243CE"/>
    <w:rsid w:val="0013022B"/>
    <w:rsid w:val="001308EF"/>
    <w:rsid w:val="00130D4E"/>
    <w:rsid w:val="00133A44"/>
    <w:rsid w:val="00134808"/>
    <w:rsid w:val="00135EA1"/>
    <w:rsid w:val="00143895"/>
    <w:rsid w:val="00144DF4"/>
    <w:rsid w:val="00147236"/>
    <w:rsid w:val="001530C5"/>
    <w:rsid w:val="001544DD"/>
    <w:rsid w:val="00157660"/>
    <w:rsid w:val="00170FCD"/>
    <w:rsid w:val="0017272E"/>
    <w:rsid w:val="001738C9"/>
    <w:rsid w:val="001832D8"/>
    <w:rsid w:val="00186AC4"/>
    <w:rsid w:val="001934AC"/>
    <w:rsid w:val="0019667D"/>
    <w:rsid w:val="001A3849"/>
    <w:rsid w:val="001A7713"/>
    <w:rsid w:val="001A791D"/>
    <w:rsid w:val="001B7EB9"/>
    <w:rsid w:val="001C4E73"/>
    <w:rsid w:val="001C5C62"/>
    <w:rsid w:val="001C7917"/>
    <w:rsid w:val="001D0E4B"/>
    <w:rsid w:val="001D6E36"/>
    <w:rsid w:val="001E0152"/>
    <w:rsid w:val="001E2417"/>
    <w:rsid w:val="001E34A6"/>
    <w:rsid w:val="001E48A5"/>
    <w:rsid w:val="001E517F"/>
    <w:rsid w:val="001E6563"/>
    <w:rsid w:val="001E6862"/>
    <w:rsid w:val="001F555F"/>
    <w:rsid w:val="001F6821"/>
    <w:rsid w:val="001F6C5C"/>
    <w:rsid w:val="0020738D"/>
    <w:rsid w:val="0021008B"/>
    <w:rsid w:val="0021248C"/>
    <w:rsid w:val="00215583"/>
    <w:rsid w:val="002176FA"/>
    <w:rsid w:val="00225E32"/>
    <w:rsid w:val="00226E96"/>
    <w:rsid w:val="00227759"/>
    <w:rsid w:val="00232099"/>
    <w:rsid w:val="0024032D"/>
    <w:rsid w:val="002444DC"/>
    <w:rsid w:val="0024613B"/>
    <w:rsid w:val="00261F0B"/>
    <w:rsid w:val="00263CF0"/>
    <w:rsid w:val="00267094"/>
    <w:rsid w:val="002736BF"/>
    <w:rsid w:val="00275D8E"/>
    <w:rsid w:val="00276103"/>
    <w:rsid w:val="002775F6"/>
    <w:rsid w:val="002823AD"/>
    <w:rsid w:val="00285CE2"/>
    <w:rsid w:val="00291BEF"/>
    <w:rsid w:val="002942F9"/>
    <w:rsid w:val="002947DB"/>
    <w:rsid w:val="0029530F"/>
    <w:rsid w:val="00295381"/>
    <w:rsid w:val="002B1DEB"/>
    <w:rsid w:val="002C1A6C"/>
    <w:rsid w:val="002C7283"/>
    <w:rsid w:val="002D4D64"/>
    <w:rsid w:val="002D61B7"/>
    <w:rsid w:val="002D790D"/>
    <w:rsid w:val="002E51F1"/>
    <w:rsid w:val="002E5DDF"/>
    <w:rsid w:val="002F2203"/>
    <w:rsid w:val="002F54F6"/>
    <w:rsid w:val="00301AF6"/>
    <w:rsid w:val="003163EE"/>
    <w:rsid w:val="0032642E"/>
    <w:rsid w:val="003379CC"/>
    <w:rsid w:val="00342232"/>
    <w:rsid w:val="00343585"/>
    <w:rsid w:val="00355E6A"/>
    <w:rsid w:val="003563EC"/>
    <w:rsid w:val="00360B0D"/>
    <w:rsid w:val="0036105D"/>
    <w:rsid w:val="00362527"/>
    <w:rsid w:val="003627B0"/>
    <w:rsid w:val="003647CB"/>
    <w:rsid w:val="00375E79"/>
    <w:rsid w:val="00376AB2"/>
    <w:rsid w:val="003844CD"/>
    <w:rsid w:val="003860D8"/>
    <w:rsid w:val="00386A07"/>
    <w:rsid w:val="003911EA"/>
    <w:rsid w:val="00397188"/>
    <w:rsid w:val="003B5E9C"/>
    <w:rsid w:val="003B73C4"/>
    <w:rsid w:val="003B74D2"/>
    <w:rsid w:val="003C31CD"/>
    <w:rsid w:val="003D6AF6"/>
    <w:rsid w:val="003E13B9"/>
    <w:rsid w:val="003E13DB"/>
    <w:rsid w:val="003E2BBF"/>
    <w:rsid w:val="003E444B"/>
    <w:rsid w:val="003E7D0A"/>
    <w:rsid w:val="003F415D"/>
    <w:rsid w:val="003F6D90"/>
    <w:rsid w:val="0040584E"/>
    <w:rsid w:val="00412246"/>
    <w:rsid w:val="004163AA"/>
    <w:rsid w:val="004207B5"/>
    <w:rsid w:val="00420AA6"/>
    <w:rsid w:val="004235C2"/>
    <w:rsid w:val="004235F7"/>
    <w:rsid w:val="00423FB3"/>
    <w:rsid w:val="00423FEF"/>
    <w:rsid w:val="00426E64"/>
    <w:rsid w:val="00434522"/>
    <w:rsid w:val="0044079C"/>
    <w:rsid w:val="0044523E"/>
    <w:rsid w:val="00450615"/>
    <w:rsid w:val="00451379"/>
    <w:rsid w:val="00452ADA"/>
    <w:rsid w:val="004548C4"/>
    <w:rsid w:val="00455828"/>
    <w:rsid w:val="00457203"/>
    <w:rsid w:val="00462077"/>
    <w:rsid w:val="00467B9F"/>
    <w:rsid w:val="00471B4F"/>
    <w:rsid w:val="00473117"/>
    <w:rsid w:val="004745CD"/>
    <w:rsid w:val="00481DE8"/>
    <w:rsid w:val="0049438B"/>
    <w:rsid w:val="004A09ED"/>
    <w:rsid w:val="004A6044"/>
    <w:rsid w:val="004B18BB"/>
    <w:rsid w:val="004B33EC"/>
    <w:rsid w:val="004B51C4"/>
    <w:rsid w:val="004B5AB8"/>
    <w:rsid w:val="004C125A"/>
    <w:rsid w:val="004C7F6B"/>
    <w:rsid w:val="004D06F6"/>
    <w:rsid w:val="004D294D"/>
    <w:rsid w:val="004D2F23"/>
    <w:rsid w:val="004D6A93"/>
    <w:rsid w:val="004E0C44"/>
    <w:rsid w:val="004E12AA"/>
    <w:rsid w:val="004E3460"/>
    <w:rsid w:val="004E53C7"/>
    <w:rsid w:val="004F123A"/>
    <w:rsid w:val="004F398F"/>
    <w:rsid w:val="004F52B8"/>
    <w:rsid w:val="004F5450"/>
    <w:rsid w:val="004F5B39"/>
    <w:rsid w:val="00502BE6"/>
    <w:rsid w:val="00507261"/>
    <w:rsid w:val="0051158A"/>
    <w:rsid w:val="0051315C"/>
    <w:rsid w:val="00515B60"/>
    <w:rsid w:val="00520286"/>
    <w:rsid w:val="0052030D"/>
    <w:rsid w:val="0052158C"/>
    <w:rsid w:val="0052571E"/>
    <w:rsid w:val="00535F23"/>
    <w:rsid w:val="0053618B"/>
    <w:rsid w:val="00540CC1"/>
    <w:rsid w:val="00541BE7"/>
    <w:rsid w:val="00552C1A"/>
    <w:rsid w:val="00561816"/>
    <w:rsid w:val="00564487"/>
    <w:rsid w:val="00564D4E"/>
    <w:rsid w:val="00567BCC"/>
    <w:rsid w:val="0057595E"/>
    <w:rsid w:val="00576D62"/>
    <w:rsid w:val="0057720C"/>
    <w:rsid w:val="0058058A"/>
    <w:rsid w:val="0058078D"/>
    <w:rsid w:val="00585DC4"/>
    <w:rsid w:val="00587FD1"/>
    <w:rsid w:val="00592870"/>
    <w:rsid w:val="00596EE4"/>
    <w:rsid w:val="005A1169"/>
    <w:rsid w:val="005A68FD"/>
    <w:rsid w:val="005B2B49"/>
    <w:rsid w:val="005B7633"/>
    <w:rsid w:val="005C4FB4"/>
    <w:rsid w:val="005D03D3"/>
    <w:rsid w:val="005D2F4A"/>
    <w:rsid w:val="005D5AC0"/>
    <w:rsid w:val="005E65DF"/>
    <w:rsid w:val="005E7F20"/>
    <w:rsid w:val="00603787"/>
    <w:rsid w:val="006044B7"/>
    <w:rsid w:val="00611733"/>
    <w:rsid w:val="0061626F"/>
    <w:rsid w:val="00623B48"/>
    <w:rsid w:val="0063027B"/>
    <w:rsid w:val="006304EB"/>
    <w:rsid w:val="0063282A"/>
    <w:rsid w:val="006408E5"/>
    <w:rsid w:val="006439C0"/>
    <w:rsid w:val="00650747"/>
    <w:rsid w:val="00654A03"/>
    <w:rsid w:val="00657B78"/>
    <w:rsid w:val="00660E12"/>
    <w:rsid w:val="0066146E"/>
    <w:rsid w:val="0066584C"/>
    <w:rsid w:val="00673822"/>
    <w:rsid w:val="006768DB"/>
    <w:rsid w:val="006829ED"/>
    <w:rsid w:val="00684229"/>
    <w:rsid w:val="006845FA"/>
    <w:rsid w:val="006862D6"/>
    <w:rsid w:val="006864C0"/>
    <w:rsid w:val="006942CC"/>
    <w:rsid w:val="00694AA7"/>
    <w:rsid w:val="006A3658"/>
    <w:rsid w:val="006A4C24"/>
    <w:rsid w:val="006A66B3"/>
    <w:rsid w:val="006A7713"/>
    <w:rsid w:val="006A7F33"/>
    <w:rsid w:val="006B1027"/>
    <w:rsid w:val="006B355F"/>
    <w:rsid w:val="006C19AF"/>
    <w:rsid w:val="006D2E33"/>
    <w:rsid w:val="006E5D88"/>
    <w:rsid w:val="006E735C"/>
    <w:rsid w:val="006E7DDF"/>
    <w:rsid w:val="006F4AEC"/>
    <w:rsid w:val="007023A6"/>
    <w:rsid w:val="00707B15"/>
    <w:rsid w:val="007177B8"/>
    <w:rsid w:val="00721FEA"/>
    <w:rsid w:val="00725630"/>
    <w:rsid w:val="00731177"/>
    <w:rsid w:val="00733574"/>
    <w:rsid w:val="00733FDC"/>
    <w:rsid w:val="00734551"/>
    <w:rsid w:val="00736828"/>
    <w:rsid w:val="007440C9"/>
    <w:rsid w:val="00744CFC"/>
    <w:rsid w:val="0074751E"/>
    <w:rsid w:val="00753781"/>
    <w:rsid w:val="00753867"/>
    <w:rsid w:val="00756A84"/>
    <w:rsid w:val="00762E71"/>
    <w:rsid w:val="00765DE4"/>
    <w:rsid w:val="007679D7"/>
    <w:rsid w:val="00773AC1"/>
    <w:rsid w:val="00787797"/>
    <w:rsid w:val="00792BE3"/>
    <w:rsid w:val="007A1407"/>
    <w:rsid w:val="007A4FF4"/>
    <w:rsid w:val="007B176A"/>
    <w:rsid w:val="007B5D70"/>
    <w:rsid w:val="007B7F00"/>
    <w:rsid w:val="007D0F6A"/>
    <w:rsid w:val="007D64F0"/>
    <w:rsid w:val="007E1896"/>
    <w:rsid w:val="007E1B01"/>
    <w:rsid w:val="007E21A0"/>
    <w:rsid w:val="007F21DA"/>
    <w:rsid w:val="007F402E"/>
    <w:rsid w:val="00801DFA"/>
    <w:rsid w:val="0081248F"/>
    <w:rsid w:val="00813587"/>
    <w:rsid w:val="0081384E"/>
    <w:rsid w:val="00817C59"/>
    <w:rsid w:val="00830D42"/>
    <w:rsid w:val="008357A9"/>
    <w:rsid w:val="0083741B"/>
    <w:rsid w:val="00842268"/>
    <w:rsid w:val="0084636E"/>
    <w:rsid w:val="00847940"/>
    <w:rsid w:val="00850199"/>
    <w:rsid w:val="008511A8"/>
    <w:rsid w:val="0085690C"/>
    <w:rsid w:val="00857392"/>
    <w:rsid w:val="00860670"/>
    <w:rsid w:val="008609FF"/>
    <w:rsid w:val="008618F8"/>
    <w:rsid w:val="0086360B"/>
    <w:rsid w:val="008657E1"/>
    <w:rsid w:val="00872BA3"/>
    <w:rsid w:val="00872CDC"/>
    <w:rsid w:val="0087445E"/>
    <w:rsid w:val="00880F98"/>
    <w:rsid w:val="00882FDA"/>
    <w:rsid w:val="008872CF"/>
    <w:rsid w:val="00887643"/>
    <w:rsid w:val="00891245"/>
    <w:rsid w:val="00891426"/>
    <w:rsid w:val="008952B7"/>
    <w:rsid w:val="008974B7"/>
    <w:rsid w:val="008A1C52"/>
    <w:rsid w:val="008A2197"/>
    <w:rsid w:val="008A51DB"/>
    <w:rsid w:val="008B02AC"/>
    <w:rsid w:val="008B0303"/>
    <w:rsid w:val="008B40AC"/>
    <w:rsid w:val="008B5D80"/>
    <w:rsid w:val="008C1F5F"/>
    <w:rsid w:val="008C3010"/>
    <w:rsid w:val="008C53FA"/>
    <w:rsid w:val="008E13EC"/>
    <w:rsid w:val="008E2D57"/>
    <w:rsid w:val="008E5257"/>
    <w:rsid w:val="008F227F"/>
    <w:rsid w:val="008F3C44"/>
    <w:rsid w:val="009020E7"/>
    <w:rsid w:val="009023B9"/>
    <w:rsid w:val="009027EB"/>
    <w:rsid w:val="00915003"/>
    <w:rsid w:val="00915526"/>
    <w:rsid w:val="009155A1"/>
    <w:rsid w:val="009207BE"/>
    <w:rsid w:val="0093273E"/>
    <w:rsid w:val="00935A64"/>
    <w:rsid w:val="00940285"/>
    <w:rsid w:val="00944C9C"/>
    <w:rsid w:val="009600AD"/>
    <w:rsid w:val="0096485E"/>
    <w:rsid w:val="0096773D"/>
    <w:rsid w:val="00974E0D"/>
    <w:rsid w:val="00975E78"/>
    <w:rsid w:val="009879CA"/>
    <w:rsid w:val="0099207D"/>
    <w:rsid w:val="009978C6"/>
    <w:rsid w:val="009A5BD4"/>
    <w:rsid w:val="009A72AC"/>
    <w:rsid w:val="009B65A0"/>
    <w:rsid w:val="009C6949"/>
    <w:rsid w:val="009D0FE1"/>
    <w:rsid w:val="009D2448"/>
    <w:rsid w:val="009D793F"/>
    <w:rsid w:val="009E42F8"/>
    <w:rsid w:val="009F042A"/>
    <w:rsid w:val="009F0FAE"/>
    <w:rsid w:val="009F1366"/>
    <w:rsid w:val="009F2C9C"/>
    <w:rsid w:val="00A12ED4"/>
    <w:rsid w:val="00A15254"/>
    <w:rsid w:val="00A16438"/>
    <w:rsid w:val="00A17D63"/>
    <w:rsid w:val="00A240FA"/>
    <w:rsid w:val="00A40147"/>
    <w:rsid w:val="00A5446C"/>
    <w:rsid w:val="00A63462"/>
    <w:rsid w:val="00A63A9C"/>
    <w:rsid w:val="00A7113E"/>
    <w:rsid w:val="00A724E9"/>
    <w:rsid w:val="00A75243"/>
    <w:rsid w:val="00A76198"/>
    <w:rsid w:val="00A86669"/>
    <w:rsid w:val="00A95EE6"/>
    <w:rsid w:val="00AA1A4C"/>
    <w:rsid w:val="00AA4A73"/>
    <w:rsid w:val="00AA693C"/>
    <w:rsid w:val="00AB39EC"/>
    <w:rsid w:val="00AC23FD"/>
    <w:rsid w:val="00AC2401"/>
    <w:rsid w:val="00AC3061"/>
    <w:rsid w:val="00AC3A6F"/>
    <w:rsid w:val="00AC4E53"/>
    <w:rsid w:val="00AC7436"/>
    <w:rsid w:val="00AD1602"/>
    <w:rsid w:val="00AD3294"/>
    <w:rsid w:val="00AE13AB"/>
    <w:rsid w:val="00AE2966"/>
    <w:rsid w:val="00AF2908"/>
    <w:rsid w:val="00B00870"/>
    <w:rsid w:val="00B00A79"/>
    <w:rsid w:val="00B02DEB"/>
    <w:rsid w:val="00B0465B"/>
    <w:rsid w:val="00B05953"/>
    <w:rsid w:val="00B078B3"/>
    <w:rsid w:val="00B102AF"/>
    <w:rsid w:val="00B12083"/>
    <w:rsid w:val="00B13F26"/>
    <w:rsid w:val="00B16FB7"/>
    <w:rsid w:val="00B2028C"/>
    <w:rsid w:val="00B223AE"/>
    <w:rsid w:val="00B22EAF"/>
    <w:rsid w:val="00B25823"/>
    <w:rsid w:val="00B26A78"/>
    <w:rsid w:val="00B313E9"/>
    <w:rsid w:val="00B34DE0"/>
    <w:rsid w:val="00B412E4"/>
    <w:rsid w:val="00B41CFD"/>
    <w:rsid w:val="00B46227"/>
    <w:rsid w:val="00B47B99"/>
    <w:rsid w:val="00B53FFA"/>
    <w:rsid w:val="00B56AF8"/>
    <w:rsid w:val="00B56ED9"/>
    <w:rsid w:val="00B57CCF"/>
    <w:rsid w:val="00B62E18"/>
    <w:rsid w:val="00B65BB0"/>
    <w:rsid w:val="00B66648"/>
    <w:rsid w:val="00B73107"/>
    <w:rsid w:val="00B74A9B"/>
    <w:rsid w:val="00B82073"/>
    <w:rsid w:val="00B90F88"/>
    <w:rsid w:val="00B9181A"/>
    <w:rsid w:val="00B936EB"/>
    <w:rsid w:val="00B946EF"/>
    <w:rsid w:val="00B96B57"/>
    <w:rsid w:val="00BA2FF4"/>
    <w:rsid w:val="00BA380D"/>
    <w:rsid w:val="00BA678E"/>
    <w:rsid w:val="00BB0952"/>
    <w:rsid w:val="00BB3A73"/>
    <w:rsid w:val="00BB40EA"/>
    <w:rsid w:val="00BB480C"/>
    <w:rsid w:val="00BC0C38"/>
    <w:rsid w:val="00BC2B90"/>
    <w:rsid w:val="00BC42B8"/>
    <w:rsid w:val="00BC52B5"/>
    <w:rsid w:val="00BC6932"/>
    <w:rsid w:val="00BD2BA6"/>
    <w:rsid w:val="00BD3E21"/>
    <w:rsid w:val="00BE0515"/>
    <w:rsid w:val="00BF0C90"/>
    <w:rsid w:val="00BF29E3"/>
    <w:rsid w:val="00BF66D8"/>
    <w:rsid w:val="00BF75ED"/>
    <w:rsid w:val="00C01A3B"/>
    <w:rsid w:val="00C03D8B"/>
    <w:rsid w:val="00C102F9"/>
    <w:rsid w:val="00C15083"/>
    <w:rsid w:val="00C22E52"/>
    <w:rsid w:val="00C3341A"/>
    <w:rsid w:val="00C4047A"/>
    <w:rsid w:val="00C50987"/>
    <w:rsid w:val="00C60F00"/>
    <w:rsid w:val="00C6243E"/>
    <w:rsid w:val="00C63005"/>
    <w:rsid w:val="00C70CC3"/>
    <w:rsid w:val="00C71122"/>
    <w:rsid w:val="00C76514"/>
    <w:rsid w:val="00C807AA"/>
    <w:rsid w:val="00C85CEF"/>
    <w:rsid w:val="00C92138"/>
    <w:rsid w:val="00C928DB"/>
    <w:rsid w:val="00C96EE6"/>
    <w:rsid w:val="00CA25FF"/>
    <w:rsid w:val="00CA437D"/>
    <w:rsid w:val="00CA4D00"/>
    <w:rsid w:val="00CA57FD"/>
    <w:rsid w:val="00CB1BF2"/>
    <w:rsid w:val="00CB7062"/>
    <w:rsid w:val="00CC680E"/>
    <w:rsid w:val="00CD6E59"/>
    <w:rsid w:val="00CE16E3"/>
    <w:rsid w:val="00CE4D78"/>
    <w:rsid w:val="00CE63C0"/>
    <w:rsid w:val="00CF422B"/>
    <w:rsid w:val="00D03CD3"/>
    <w:rsid w:val="00D10492"/>
    <w:rsid w:val="00D11254"/>
    <w:rsid w:val="00D12909"/>
    <w:rsid w:val="00D147FD"/>
    <w:rsid w:val="00D1647B"/>
    <w:rsid w:val="00D16720"/>
    <w:rsid w:val="00D205BD"/>
    <w:rsid w:val="00D21794"/>
    <w:rsid w:val="00D24C41"/>
    <w:rsid w:val="00D31BBE"/>
    <w:rsid w:val="00D31E04"/>
    <w:rsid w:val="00D3213A"/>
    <w:rsid w:val="00D34DBF"/>
    <w:rsid w:val="00D402AF"/>
    <w:rsid w:val="00D46582"/>
    <w:rsid w:val="00D55062"/>
    <w:rsid w:val="00D60F49"/>
    <w:rsid w:val="00D619AF"/>
    <w:rsid w:val="00D6275B"/>
    <w:rsid w:val="00D66D82"/>
    <w:rsid w:val="00D67DA3"/>
    <w:rsid w:val="00D72893"/>
    <w:rsid w:val="00D80E77"/>
    <w:rsid w:val="00D815D4"/>
    <w:rsid w:val="00D82B3F"/>
    <w:rsid w:val="00D85CE9"/>
    <w:rsid w:val="00DA3251"/>
    <w:rsid w:val="00DA690F"/>
    <w:rsid w:val="00DA6DD1"/>
    <w:rsid w:val="00DB09F5"/>
    <w:rsid w:val="00DB3BDC"/>
    <w:rsid w:val="00DC0732"/>
    <w:rsid w:val="00DC18E8"/>
    <w:rsid w:val="00DC3684"/>
    <w:rsid w:val="00DC6213"/>
    <w:rsid w:val="00DD44ED"/>
    <w:rsid w:val="00DE3415"/>
    <w:rsid w:val="00DE488B"/>
    <w:rsid w:val="00DE76C0"/>
    <w:rsid w:val="00E004C2"/>
    <w:rsid w:val="00E01438"/>
    <w:rsid w:val="00E05CE5"/>
    <w:rsid w:val="00E16747"/>
    <w:rsid w:val="00E303B4"/>
    <w:rsid w:val="00E31D19"/>
    <w:rsid w:val="00E33455"/>
    <w:rsid w:val="00E34D6D"/>
    <w:rsid w:val="00E364EE"/>
    <w:rsid w:val="00E37CA0"/>
    <w:rsid w:val="00E435E4"/>
    <w:rsid w:val="00E439BB"/>
    <w:rsid w:val="00E450D2"/>
    <w:rsid w:val="00E45D81"/>
    <w:rsid w:val="00E5336E"/>
    <w:rsid w:val="00E6083A"/>
    <w:rsid w:val="00E60F0E"/>
    <w:rsid w:val="00E7478D"/>
    <w:rsid w:val="00E81F91"/>
    <w:rsid w:val="00E92F55"/>
    <w:rsid w:val="00EA13F4"/>
    <w:rsid w:val="00EA727C"/>
    <w:rsid w:val="00EB128C"/>
    <w:rsid w:val="00EB64BB"/>
    <w:rsid w:val="00EB6990"/>
    <w:rsid w:val="00EC4550"/>
    <w:rsid w:val="00EC6F6B"/>
    <w:rsid w:val="00ED54FC"/>
    <w:rsid w:val="00EE1D24"/>
    <w:rsid w:val="00EE32A1"/>
    <w:rsid w:val="00EE411D"/>
    <w:rsid w:val="00EF0F24"/>
    <w:rsid w:val="00EF1DF1"/>
    <w:rsid w:val="00F035D9"/>
    <w:rsid w:val="00F12DFA"/>
    <w:rsid w:val="00F14E41"/>
    <w:rsid w:val="00F2469F"/>
    <w:rsid w:val="00F25BCE"/>
    <w:rsid w:val="00F26D34"/>
    <w:rsid w:val="00F27399"/>
    <w:rsid w:val="00F364B4"/>
    <w:rsid w:val="00F401C7"/>
    <w:rsid w:val="00F40822"/>
    <w:rsid w:val="00F50CA5"/>
    <w:rsid w:val="00F55AA9"/>
    <w:rsid w:val="00F55BD0"/>
    <w:rsid w:val="00F573DA"/>
    <w:rsid w:val="00F60B87"/>
    <w:rsid w:val="00F63F52"/>
    <w:rsid w:val="00F66941"/>
    <w:rsid w:val="00F70C05"/>
    <w:rsid w:val="00F73B47"/>
    <w:rsid w:val="00F7661C"/>
    <w:rsid w:val="00F81434"/>
    <w:rsid w:val="00F81681"/>
    <w:rsid w:val="00F81B10"/>
    <w:rsid w:val="00F910AC"/>
    <w:rsid w:val="00F94CB4"/>
    <w:rsid w:val="00F94D24"/>
    <w:rsid w:val="00F967F3"/>
    <w:rsid w:val="00F97766"/>
    <w:rsid w:val="00FA257C"/>
    <w:rsid w:val="00FA27F7"/>
    <w:rsid w:val="00FA6C06"/>
    <w:rsid w:val="00FB33E1"/>
    <w:rsid w:val="00FB3DF6"/>
    <w:rsid w:val="00FC0377"/>
    <w:rsid w:val="00FC1E7A"/>
    <w:rsid w:val="00FC5E6D"/>
    <w:rsid w:val="00FD19D7"/>
    <w:rsid w:val="00FD75EA"/>
    <w:rsid w:val="00FE061F"/>
    <w:rsid w:val="00FE1728"/>
    <w:rsid w:val="00FE4CD9"/>
    <w:rsid w:val="00FE6927"/>
    <w:rsid w:val="00FE6AA2"/>
    <w:rsid w:val="00FE6AB9"/>
    <w:rsid w:val="00FF31D4"/>
    <w:rsid w:val="00FF482A"/>
    <w:rsid w:val="00FF640B"/>
    <w:rsid w:val="1AFD745A"/>
  </w:rsids>
  <m:mathPr>
    <m:mathFont m:val="Cambria Math"/>
    <m:brkBin m:val="before"/>
    <m:brkBinSub m:val="--"/>
    <m:smallFrac m:val="0"/>
    <m:dispDef/>
    <m:lMargin m:val="0"/>
    <m:rMargin m:val="0"/>
    <m:defJc m:val="centerGroup"/>
    <m:wrapIndent m:val="1440"/>
    <m:intLim m:val="subSup"/>
    <m:naryLim m:val="undOvr"/>
  </m:mathPr>
  <w:themeFontLang w:val="es-E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3A4C13"/>
  <w15:docId w15:val="{D138D5BF-397A-4A74-A0E8-A48A412F26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lang w:val="es-E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00" w:line="276" w:lineRule="auto"/>
    </w:pPr>
    <w:rPr>
      <w:sz w:val="22"/>
      <w:szCs w:val="22"/>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pPr>
      <w:spacing w:after="0" w:line="240" w:lineRule="auto"/>
    </w:pPr>
    <w:rPr>
      <w:rFonts w:ascii="Segoe UI" w:hAnsi="Segoe UI" w:cs="Segoe UI"/>
      <w:sz w:val="18"/>
      <w:szCs w:val="18"/>
    </w:rPr>
  </w:style>
  <w:style w:type="character" w:styleId="Refdecomentario">
    <w:name w:val="annotation reference"/>
    <w:basedOn w:val="Fuentedeprrafopredeter"/>
    <w:uiPriority w:val="99"/>
    <w:semiHidden/>
    <w:unhideWhenUsed/>
    <w:rPr>
      <w:sz w:val="16"/>
      <w:szCs w:val="16"/>
    </w:rPr>
  </w:style>
  <w:style w:type="paragraph" w:styleId="Textocomentario">
    <w:name w:val="annotation text"/>
    <w:basedOn w:val="Normal"/>
    <w:link w:val="TextocomentarioCar"/>
    <w:uiPriority w:val="99"/>
    <w:unhideWhenUsed/>
    <w:pPr>
      <w:spacing w:line="240" w:lineRule="auto"/>
    </w:pPr>
    <w:rPr>
      <w:sz w:val="20"/>
      <w:szCs w:val="20"/>
    </w:rPr>
  </w:style>
  <w:style w:type="paragraph" w:styleId="Asuntodelcomentario">
    <w:name w:val="annotation subject"/>
    <w:basedOn w:val="Textocomentario"/>
    <w:next w:val="Textocomentario"/>
    <w:link w:val="AsuntodelcomentarioCar"/>
    <w:uiPriority w:val="99"/>
    <w:semiHidden/>
    <w:unhideWhenUsed/>
    <w:rPr>
      <w:b/>
      <w:bCs/>
    </w:rPr>
  </w:style>
  <w:style w:type="character" w:styleId="Hipervnculo">
    <w:name w:val="Hyperlink"/>
    <w:basedOn w:val="Fuentedeprrafopredeter"/>
    <w:uiPriority w:val="99"/>
    <w:unhideWhenUsed/>
    <w:rPr>
      <w:color w:val="0563C1" w:themeColor="hyperlink"/>
      <w:u w:val="single"/>
    </w:rPr>
  </w:style>
  <w:style w:type="table" w:styleId="Tablaconcuadrcula">
    <w:name w:val="Table Grid"/>
    <w:basedOn w:val="Tablanormal"/>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pPr>
      <w:autoSpaceDE w:val="0"/>
      <w:autoSpaceDN w:val="0"/>
      <w:adjustRightInd w:val="0"/>
    </w:pPr>
    <w:rPr>
      <w:rFonts w:ascii="Times New Roman" w:hAnsi="Times New Roman" w:cs="Times New Roman"/>
      <w:color w:val="000000"/>
      <w:sz w:val="24"/>
      <w:szCs w:val="24"/>
      <w:lang w:eastAsia="en-US"/>
    </w:rPr>
  </w:style>
  <w:style w:type="character" w:customStyle="1" w:styleId="TextocomentarioCar">
    <w:name w:val="Texto comentario Car"/>
    <w:basedOn w:val="Fuentedeprrafopredeter"/>
    <w:link w:val="Textocomentario"/>
    <w:uiPriority w:val="99"/>
    <w:rPr>
      <w:sz w:val="20"/>
      <w:szCs w:val="20"/>
    </w:rPr>
  </w:style>
  <w:style w:type="character" w:customStyle="1" w:styleId="AsuntodelcomentarioCar">
    <w:name w:val="Asunto del comentario Car"/>
    <w:basedOn w:val="TextocomentarioCar"/>
    <w:link w:val="Asuntodelcomentario"/>
    <w:uiPriority w:val="99"/>
    <w:semiHidden/>
    <w:rPr>
      <w:b/>
      <w:bCs/>
      <w:sz w:val="20"/>
      <w:szCs w:val="20"/>
    </w:rPr>
  </w:style>
  <w:style w:type="character" w:customStyle="1" w:styleId="ref-title">
    <w:name w:val="ref-title"/>
    <w:basedOn w:val="Fuentedeprrafopredeter"/>
  </w:style>
  <w:style w:type="character" w:customStyle="1" w:styleId="ref-journal">
    <w:name w:val="ref-journal"/>
    <w:basedOn w:val="Fuentedeprrafopredeter"/>
  </w:style>
  <w:style w:type="character" w:customStyle="1" w:styleId="ref-vol">
    <w:name w:val="ref-vol"/>
    <w:basedOn w:val="Fuentedeprrafopredeter"/>
  </w:style>
  <w:style w:type="character" w:customStyle="1" w:styleId="ref-iss">
    <w:name w:val="ref-iss"/>
    <w:basedOn w:val="Fuentedeprrafopredeter"/>
  </w:style>
  <w:style w:type="character" w:customStyle="1" w:styleId="author">
    <w:name w:val="author"/>
    <w:basedOn w:val="Fuentedeprrafopredeter"/>
  </w:style>
  <w:style w:type="character" w:customStyle="1" w:styleId="pubyear">
    <w:name w:val="pubyear"/>
    <w:basedOn w:val="Fuentedeprrafopredeter"/>
  </w:style>
  <w:style w:type="character" w:customStyle="1" w:styleId="articletitle">
    <w:name w:val="articletitle"/>
    <w:basedOn w:val="Fuentedeprrafopredeter"/>
    <w:qFormat/>
  </w:style>
  <w:style w:type="character" w:customStyle="1" w:styleId="journaltitle">
    <w:name w:val="journaltitle"/>
    <w:basedOn w:val="Fuentedeprrafopredeter"/>
    <w:qFormat/>
  </w:style>
  <w:style w:type="character" w:customStyle="1" w:styleId="vol">
    <w:name w:val="vol"/>
    <w:basedOn w:val="Fuentedeprrafopredeter"/>
  </w:style>
  <w:style w:type="character" w:customStyle="1" w:styleId="citedissue">
    <w:name w:val="citedissue"/>
    <w:basedOn w:val="Fuentedeprrafopredeter"/>
  </w:style>
  <w:style w:type="character" w:customStyle="1" w:styleId="pagefirst">
    <w:name w:val="pagefirst"/>
    <w:basedOn w:val="Fuentedeprrafopredeter"/>
  </w:style>
  <w:style w:type="character" w:customStyle="1" w:styleId="pagelast">
    <w:name w:val="pagelast"/>
    <w:basedOn w:val="Fuentedeprrafopredeter"/>
  </w:style>
  <w:style w:type="character" w:customStyle="1" w:styleId="groupname">
    <w:name w:val="groupname"/>
    <w:basedOn w:val="Fuentedeprrafopredeter"/>
  </w:style>
  <w:style w:type="character" w:customStyle="1" w:styleId="TextodegloboCar">
    <w:name w:val="Texto de globo Car"/>
    <w:basedOn w:val="Fuentedeprrafopredeter"/>
    <w:link w:val="Textodeglobo"/>
    <w:uiPriority w:val="99"/>
    <w:semiHidden/>
    <w:rPr>
      <w:rFonts w:ascii="Segoe UI" w:hAnsi="Segoe UI" w:cs="Segoe UI"/>
      <w:sz w:val="18"/>
      <w:szCs w:val="18"/>
    </w:rPr>
  </w:style>
  <w:style w:type="paragraph" w:customStyle="1" w:styleId="Revisin1">
    <w:name w:val="Revisión1"/>
    <w:hidden/>
    <w:uiPriority w:val="99"/>
    <w:semiHidden/>
    <w:rPr>
      <w:sz w:val="22"/>
      <w:szCs w:val="22"/>
      <w:lang w:eastAsia="en-US"/>
    </w:rPr>
  </w:style>
  <w:style w:type="character" w:customStyle="1" w:styleId="Mencinsinresolver1">
    <w:name w:val="Mención sin resolver1"/>
    <w:basedOn w:val="Fuentedeprrafopredeter"/>
    <w:uiPriority w:val="99"/>
    <w:semiHidden/>
    <w:unhideWhenUsed/>
    <w:rPr>
      <w:color w:val="605E5C"/>
      <w:shd w:val="clear" w:color="auto" w:fill="E1DFDD"/>
    </w:rPr>
  </w:style>
  <w:style w:type="paragraph" w:customStyle="1" w:styleId="html-xx">
    <w:name w:val="html-xx"/>
    <w:basedOn w:val="Normal"/>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customStyle="1" w:styleId="html-italic">
    <w:name w:val="html-italic"/>
    <w:basedOn w:val="Fuentedeprrafopredeter"/>
  </w:style>
  <w:style w:type="paragraph" w:styleId="Revisin">
    <w:name w:val="Revision"/>
    <w:hidden/>
    <w:uiPriority w:val="99"/>
    <w:semiHidden/>
    <w:rsid w:val="00E33455"/>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DA77D609-8ED6-4808-BC8B-5A9641DA9638}">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34</Pages>
  <Words>13109</Words>
  <Characters>72105</Characters>
  <Application>Microsoft Office Word</Application>
  <DocSecurity>0</DocSecurity>
  <Lines>600</Lines>
  <Paragraphs>170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85044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Raúl Jiménez Boraita</dc:creator>
  <cp:lastModifiedBy>Raúl Jiménez Boraita</cp:lastModifiedBy>
  <cp:revision>3</cp:revision>
  <dcterms:created xsi:type="dcterms:W3CDTF">2026-02-25T11:58:00Z</dcterms:created>
  <dcterms:modified xsi:type="dcterms:W3CDTF">2026-02-25T11:58:00Z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1033-11.2.0.10308</vt:lpwstr>
  </property>
  <property fmtid="{D5CDD505-2E9C-101B-9397-08002B2CF9AE}" pid="3" name="ICV">
    <vt:lpwstr>5FB517D5C9684D638E7D27D92C618275</vt:lpwstr>
  </property>
</Properties>
</file>