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42A85" w14:textId="77777777" w:rsidR="00A60BDC" w:rsidRDefault="00A60BDC" w:rsidP="00B9638C">
      <w:pPr>
        <w:spacing w:before="100" w:beforeAutospacing="1" w:after="100" w:afterAutospacing="1"/>
        <w:jc w:val="center"/>
        <w:rPr>
          <w:b/>
          <w:bCs/>
          <w:sz w:val="36"/>
          <w:szCs w:val="36"/>
        </w:rPr>
      </w:pPr>
    </w:p>
    <w:p w14:paraId="7CC27FE2" w14:textId="77777777" w:rsidR="00A60BDC" w:rsidRDefault="00A60BDC" w:rsidP="00B9638C">
      <w:pPr>
        <w:spacing w:before="100" w:beforeAutospacing="1" w:after="100" w:afterAutospacing="1"/>
        <w:jc w:val="center"/>
        <w:rPr>
          <w:b/>
          <w:bCs/>
          <w:sz w:val="36"/>
          <w:szCs w:val="36"/>
        </w:rPr>
      </w:pPr>
    </w:p>
    <w:p w14:paraId="3F0D0DC1" w14:textId="77777777" w:rsidR="00A60BDC" w:rsidRDefault="00A60BDC" w:rsidP="00B9638C">
      <w:pPr>
        <w:spacing w:before="100" w:beforeAutospacing="1" w:after="100" w:afterAutospacing="1"/>
        <w:jc w:val="center"/>
        <w:rPr>
          <w:b/>
          <w:bCs/>
          <w:sz w:val="36"/>
          <w:szCs w:val="36"/>
        </w:rPr>
      </w:pPr>
    </w:p>
    <w:p w14:paraId="1716A968" w14:textId="4CB10B58" w:rsidR="00B9638C" w:rsidRPr="00B9638C" w:rsidRDefault="00B9638C" w:rsidP="00B9638C">
      <w:pPr>
        <w:spacing w:before="100" w:beforeAutospacing="1" w:after="100" w:afterAutospacing="1"/>
        <w:jc w:val="center"/>
        <w:rPr>
          <w:rFonts w:ascii="Times New Roman" w:eastAsia="Times New Roman" w:hAnsi="Times New Roman" w:cs="Times New Roman"/>
          <w:b/>
          <w:bCs/>
          <w:kern w:val="0"/>
          <w:sz w:val="36"/>
          <w:szCs w:val="36"/>
          <w:lang w:eastAsia="es-ES_tradnl"/>
          <w14:ligatures w14:val="none"/>
        </w:rPr>
      </w:pPr>
      <w:r w:rsidRPr="00B9638C">
        <w:rPr>
          <w:b/>
          <w:bCs/>
          <w:sz w:val="36"/>
          <w:szCs w:val="36"/>
        </w:rPr>
        <w:t>Datos de salud e investigación científica</w:t>
      </w:r>
    </w:p>
    <w:p w14:paraId="7A04C806" w14:textId="77777777" w:rsidR="00B9638C" w:rsidRDefault="00B9638C" w:rsidP="006A6511">
      <w:pPr>
        <w:spacing w:before="100" w:beforeAutospacing="1" w:after="100" w:afterAutospacing="1"/>
        <w:rPr>
          <w:rFonts w:ascii="Times New Roman" w:eastAsia="Times New Roman" w:hAnsi="Times New Roman" w:cs="Times New Roman"/>
          <w:b/>
          <w:bCs/>
          <w:kern w:val="0"/>
          <w:sz w:val="18"/>
          <w:szCs w:val="18"/>
          <w:lang w:eastAsia="es-ES_tradnl"/>
          <w14:ligatures w14:val="none"/>
        </w:rPr>
      </w:pPr>
    </w:p>
    <w:p w14:paraId="60D2BBEA" w14:textId="6AAFEC2F" w:rsidR="006A6511" w:rsidRPr="00B9638C" w:rsidRDefault="00510B4E" w:rsidP="00A60BDC">
      <w:pPr>
        <w:spacing w:before="100" w:beforeAutospacing="1" w:after="100" w:afterAutospacing="1"/>
        <w:ind w:left="708"/>
        <w:rPr>
          <w:rFonts w:ascii="Times New Roman" w:eastAsia="Times New Roman" w:hAnsi="Times New Roman" w:cs="Times New Roman"/>
          <w:kern w:val="0"/>
          <w:sz w:val="18"/>
          <w:szCs w:val="18"/>
          <w:lang w:eastAsia="es-ES_tradnl"/>
          <w14:ligatures w14:val="none"/>
        </w:rPr>
      </w:pPr>
      <w:r w:rsidRPr="00B9638C">
        <w:rPr>
          <w:rFonts w:ascii="Times New Roman" w:eastAsia="Times New Roman" w:hAnsi="Times New Roman" w:cs="Times New Roman"/>
          <w:b/>
          <w:bCs/>
          <w:kern w:val="0"/>
          <w:sz w:val="18"/>
          <w:szCs w:val="18"/>
          <w:lang w:eastAsia="es-ES_tradnl"/>
          <w14:ligatures w14:val="none"/>
        </w:rPr>
        <w:t>Dra. María Lidia Suárez Espino</w:t>
      </w:r>
      <w:r w:rsidRPr="00B9638C">
        <w:rPr>
          <w:rFonts w:ascii="Times New Roman" w:eastAsia="Times New Roman" w:hAnsi="Times New Roman" w:cs="Times New Roman"/>
          <w:kern w:val="0"/>
          <w:sz w:val="18"/>
          <w:szCs w:val="18"/>
          <w:lang w:eastAsia="es-ES_tradnl"/>
          <w14:ligatures w14:val="none"/>
        </w:rPr>
        <w:br/>
        <w:t>Profesora de la Facultad de Derecho</w:t>
      </w:r>
      <w:r w:rsidR="00A60A94" w:rsidRPr="00B9638C">
        <w:rPr>
          <w:rFonts w:ascii="Times New Roman" w:eastAsia="Times New Roman" w:hAnsi="Times New Roman" w:cs="Times New Roman"/>
          <w:kern w:val="0"/>
          <w:sz w:val="18"/>
          <w:szCs w:val="18"/>
          <w:lang w:eastAsia="es-ES_tradnl"/>
          <w14:ligatures w14:val="none"/>
        </w:rPr>
        <w:t xml:space="preserve"> de la </w:t>
      </w:r>
      <w:r w:rsidRPr="00B9638C">
        <w:rPr>
          <w:rFonts w:ascii="Times New Roman" w:eastAsia="Times New Roman" w:hAnsi="Times New Roman" w:cs="Times New Roman"/>
          <w:kern w:val="0"/>
          <w:sz w:val="18"/>
          <w:szCs w:val="18"/>
          <w:lang w:eastAsia="es-ES_tradnl"/>
          <w14:ligatures w14:val="none"/>
        </w:rPr>
        <w:t>Universidad Internacional de La Rioja (UNIR)</w:t>
      </w:r>
    </w:p>
    <w:p w14:paraId="07C45B5A" w14:textId="2CC01AD9" w:rsidR="00510B4E" w:rsidRPr="00B9638C" w:rsidRDefault="00510B4E" w:rsidP="00A60BDC">
      <w:pPr>
        <w:spacing w:line="480" w:lineRule="auto"/>
        <w:ind w:firstLine="708"/>
        <w:rPr>
          <w:sz w:val="18"/>
          <w:szCs w:val="18"/>
        </w:rPr>
      </w:pPr>
      <w:r w:rsidRPr="00B9638C">
        <w:rPr>
          <w:sz w:val="18"/>
          <w:szCs w:val="18"/>
        </w:rPr>
        <w:t xml:space="preserve">Email: </w:t>
      </w:r>
      <w:hyperlink r:id="rId8" w:history="1">
        <w:r w:rsidR="00A60A94" w:rsidRPr="00B9638C">
          <w:rPr>
            <w:rStyle w:val="Hipervnculo"/>
            <w:sz w:val="18"/>
            <w:szCs w:val="18"/>
          </w:rPr>
          <w:t>marialidia.suarez@unir.net</w:t>
        </w:r>
      </w:hyperlink>
    </w:p>
    <w:p w14:paraId="7D589FBC" w14:textId="77777777" w:rsidR="00A60A94" w:rsidRDefault="00A60A94" w:rsidP="00510B4E">
      <w:pPr>
        <w:spacing w:line="480" w:lineRule="auto"/>
      </w:pPr>
    </w:p>
    <w:p w14:paraId="0616A9CF" w14:textId="77777777" w:rsidR="00A60A94" w:rsidRDefault="00A60A94" w:rsidP="00A60A94">
      <w:pPr>
        <w:spacing w:before="100" w:beforeAutospacing="1" w:after="100" w:afterAutospacing="1"/>
        <w:jc w:val="both"/>
        <w:outlineLvl w:val="1"/>
        <w:rPr>
          <w:rFonts w:ascii="Times New Roman" w:eastAsia="Times New Roman" w:hAnsi="Times New Roman" w:cs="Times New Roman"/>
          <w:b/>
          <w:bCs/>
          <w:kern w:val="0"/>
          <w:sz w:val="36"/>
          <w:szCs w:val="36"/>
          <w:lang w:eastAsia="es-ES_tradnl"/>
          <w14:ligatures w14:val="none"/>
        </w:rPr>
      </w:pPr>
    </w:p>
    <w:p w14:paraId="11866069" w14:textId="77777777" w:rsidR="00A60A94" w:rsidRDefault="00A60A94" w:rsidP="00A60A94">
      <w:pPr>
        <w:spacing w:before="100" w:beforeAutospacing="1" w:after="100" w:afterAutospacing="1"/>
        <w:jc w:val="both"/>
        <w:outlineLvl w:val="1"/>
        <w:rPr>
          <w:rFonts w:ascii="Times New Roman" w:eastAsia="Times New Roman" w:hAnsi="Times New Roman" w:cs="Times New Roman"/>
          <w:b/>
          <w:bCs/>
          <w:kern w:val="0"/>
          <w:sz w:val="36"/>
          <w:szCs w:val="36"/>
          <w:lang w:eastAsia="es-ES_tradnl"/>
          <w14:ligatures w14:val="none"/>
        </w:rPr>
      </w:pPr>
    </w:p>
    <w:p w14:paraId="44CA3322" w14:textId="77777777" w:rsidR="00A60A94" w:rsidRDefault="00A60A94" w:rsidP="00A60A94">
      <w:pPr>
        <w:spacing w:before="100" w:beforeAutospacing="1" w:after="100" w:afterAutospacing="1"/>
        <w:jc w:val="both"/>
        <w:outlineLvl w:val="1"/>
        <w:rPr>
          <w:rFonts w:ascii="Times New Roman" w:eastAsia="Times New Roman" w:hAnsi="Times New Roman" w:cs="Times New Roman"/>
          <w:b/>
          <w:bCs/>
          <w:kern w:val="0"/>
          <w:sz w:val="36"/>
          <w:szCs w:val="36"/>
          <w:lang w:eastAsia="es-ES_tradnl"/>
          <w14:ligatures w14:val="none"/>
        </w:rPr>
      </w:pPr>
    </w:p>
    <w:p w14:paraId="6F8CB9E3" w14:textId="77777777" w:rsidR="00A60A94" w:rsidRDefault="00A60A94" w:rsidP="00A60A94">
      <w:pPr>
        <w:spacing w:before="100" w:beforeAutospacing="1" w:after="100" w:afterAutospacing="1"/>
        <w:jc w:val="both"/>
        <w:outlineLvl w:val="1"/>
        <w:rPr>
          <w:rFonts w:ascii="Times New Roman" w:eastAsia="Times New Roman" w:hAnsi="Times New Roman" w:cs="Times New Roman"/>
          <w:b/>
          <w:bCs/>
          <w:kern w:val="0"/>
          <w:sz w:val="36"/>
          <w:szCs w:val="36"/>
          <w:lang w:eastAsia="es-ES_tradnl"/>
          <w14:ligatures w14:val="none"/>
        </w:rPr>
      </w:pPr>
    </w:p>
    <w:p w14:paraId="758676A5" w14:textId="77777777" w:rsidR="00A60A94" w:rsidRDefault="00A60A94" w:rsidP="00A60A94">
      <w:pPr>
        <w:spacing w:before="100" w:beforeAutospacing="1" w:after="100" w:afterAutospacing="1"/>
        <w:jc w:val="both"/>
        <w:outlineLvl w:val="1"/>
        <w:rPr>
          <w:rFonts w:ascii="Times New Roman" w:eastAsia="Times New Roman" w:hAnsi="Times New Roman" w:cs="Times New Roman"/>
          <w:b/>
          <w:bCs/>
          <w:kern w:val="0"/>
          <w:sz w:val="36"/>
          <w:szCs w:val="36"/>
          <w:lang w:eastAsia="es-ES_tradnl"/>
          <w14:ligatures w14:val="none"/>
        </w:rPr>
      </w:pPr>
    </w:p>
    <w:p w14:paraId="22E92518" w14:textId="77777777" w:rsidR="00A60A94" w:rsidRDefault="00A60A94" w:rsidP="00A60A94">
      <w:pPr>
        <w:spacing w:before="100" w:beforeAutospacing="1" w:after="100" w:afterAutospacing="1"/>
        <w:jc w:val="both"/>
        <w:outlineLvl w:val="1"/>
        <w:rPr>
          <w:rFonts w:ascii="Times New Roman" w:eastAsia="Times New Roman" w:hAnsi="Times New Roman" w:cs="Times New Roman"/>
          <w:b/>
          <w:bCs/>
          <w:kern w:val="0"/>
          <w:sz w:val="36"/>
          <w:szCs w:val="36"/>
          <w:lang w:eastAsia="es-ES_tradnl"/>
          <w14:ligatures w14:val="none"/>
        </w:rPr>
      </w:pPr>
    </w:p>
    <w:p w14:paraId="047DE11A" w14:textId="77777777" w:rsidR="00A60A94" w:rsidRDefault="00A60A94" w:rsidP="00A60A94">
      <w:pPr>
        <w:spacing w:before="100" w:beforeAutospacing="1" w:after="100" w:afterAutospacing="1"/>
        <w:jc w:val="both"/>
        <w:outlineLvl w:val="1"/>
        <w:rPr>
          <w:rFonts w:ascii="Times New Roman" w:eastAsia="Times New Roman" w:hAnsi="Times New Roman" w:cs="Times New Roman"/>
          <w:b/>
          <w:bCs/>
          <w:kern w:val="0"/>
          <w:sz w:val="36"/>
          <w:szCs w:val="36"/>
          <w:lang w:eastAsia="es-ES_tradnl"/>
          <w14:ligatures w14:val="none"/>
        </w:rPr>
      </w:pPr>
    </w:p>
    <w:p w14:paraId="39F104F8" w14:textId="77777777" w:rsidR="00A60A94" w:rsidRDefault="00A60A94" w:rsidP="00A60A94">
      <w:pPr>
        <w:spacing w:before="100" w:beforeAutospacing="1" w:after="100" w:afterAutospacing="1"/>
        <w:jc w:val="both"/>
        <w:outlineLvl w:val="1"/>
        <w:rPr>
          <w:rFonts w:ascii="Times New Roman" w:eastAsia="Times New Roman" w:hAnsi="Times New Roman" w:cs="Times New Roman"/>
          <w:b/>
          <w:bCs/>
          <w:kern w:val="0"/>
          <w:sz w:val="36"/>
          <w:szCs w:val="36"/>
          <w:lang w:eastAsia="es-ES_tradnl"/>
          <w14:ligatures w14:val="none"/>
        </w:rPr>
      </w:pPr>
    </w:p>
    <w:p w14:paraId="040BF80F" w14:textId="77777777" w:rsidR="00CB13AB" w:rsidRDefault="00CB13AB" w:rsidP="00A60A94">
      <w:pPr>
        <w:spacing w:before="100" w:beforeAutospacing="1" w:after="100" w:afterAutospacing="1"/>
        <w:jc w:val="both"/>
        <w:outlineLvl w:val="1"/>
        <w:rPr>
          <w:rFonts w:ascii="Times New Roman" w:eastAsia="Times New Roman" w:hAnsi="Times New Roman" w:cs="Times New Roman"/>
          <w:b/>
          <w:bCs/>
          <w:kern w:val="0"/>
          <w:sz w:val="28"/>
          <w:szCs w:val="28"/>
          <w:lang w:eastAsia="es-ES_tradnl"/>
          <w14:ligatures w14:val="none"/>
        </w:rPr>
      </w:pPr>
    </w:p>
    <w:p w14:paraId="314A6BD1" w14:textId="77777777" w:rsidR="00CB13AB" w:rsidRDefault="00CB13AB" w:rsidP="00A60A94">
      <w:pPr>
        <w:spacing w:before="100" w:beforeAutospacing="1" w:after="100" w:afterAutospacing="1"/>
        <w:jc w:val="both"/>
        <w:outlineLvl w:val="1"/>
        <w:rPr>
          <w:rFonts w:ascii="Times New Roman" w:eastAsia="Times New Roman" w:hAnsi="Times New Roman" w:cs="Times New Roman"/>
          <w:b/>
          <w:bCs/>
          <w:kern w:val="0"/>
          <w:sz w:val="28"/>
          <w:szCs w:val="28"/>
          <w:lang w:eastAsia="es-ES_tradnl"/>
          <w14:ligatures w14:val="none"/>
        </w:rPr>
      </w:pPr>
    </w:p>
    <w:p w14:paraId="7FF10ACC" w14:textId="77777777" w:rsidR="00CB13AB" w:rsidRDefault="00CB13AB" w:rsidP="00A60A94">
      <w:pPr>
        <w:spacing w:before="100" w:beforeAutospacing="1" w:after="100" w:afterAutospacing="1"/>
        <w:jc w:val="both"/>
        <w:outlineLvl w:val="1"/>
        <w:rPr>
          <w:rFonts w:ascii="Times New Roman" w:eastAsia="Times New Roman" w:hAnsi="Times New Roman" w:cs="Times New Roman"/>
          <w:b/>
          <w:bCs/>
          <w:kern w:val="0"/>
          <w:sz w:val="28"/>
          <w:szCs w:val="28"/>
          <w:lang w:eastAsia="es-ES_tradnl"/>
          <w14:ligatures w14:val="none"/>
        </w:rPr>
      </w:pPr>
    </w:p>
    <w:p w14:paraId="4F6F9BEA" w14:textId="77777777" w:rsidR="00CB13AB" w:rsidRDefault="00CB13AB" w:rsidP="00A60A94">
      <w:pPr>
        <w:spacing w:before="100" w:beforeAutospacing="1" w:after="100" w:afterAutospacing="1"/>
        <w:jc w:val="both"/>
        <w:outlineLvl w:val="1"/>
        <w:rPr>
          <w:rFonts w:ascii="Times New Roman" w:eastAsia="Times New Roman" w:hAnsi="Times New Roman" w:cs="Times New Roman"/>
          <w:b/>
          <w:bCs/>
          <w:kern w:val="0"/>
          <w:sz w:val="28"/>
          <w:szCs w:val="28"/>
          <w:lang w:eastAsia="es-ES_tradnl"/>
          <w14:ligatures w14:val="none"/>
        </w:rPr>
      </w:pPr>
    </w:p>
    <w:p w14:paraId="04EA82C5" w14:textId="77777777" w:rsidR="00CB13AB" w:rsidRDefault="00CB13AB" w:rsidP="00A60A94">
      <w:pPr>
        <w:spacing w:before="100" w:beforeAutospacing="1" w:after="100" w:afterAutospacing="1"/>
        <w:jc w:val="both"/>
        <w:outlineLvl w:val="1"/>
        <w:rPr>
          <w:rFonts w:ascii="Times New Roman" w:eastAsia="Times New Roman" w:hAnsi="Times New Roman" w:cs="Times New Roman"/>
          <w:b/>
          <w:bCs/>
          <w:kern w:val="0"/>
          <w:sz w:val="28"/>
          <w:szCs w:val="28"/>
          <w:lang w:eastAsia="es-ES_tradnl"/>
          <w14:ligatures w14:val="none"/>
        </w:rPr>
      </w:pPr>
    </w:p>
    <w:p w14:paraId="3AD294B6" w14:textId="77777777" w:rsidR="00CB13AB" w:rsidRDefault="00CB13AB" w:rsidP="00A60A94">
      <w:pPr>
        <w:spacing w:before="100" w:beforeAutospacing="1" w:after="100" w:afterAutospacing="1"/>
        <w:jc w:val="both"/>
        <w:outlineLvl w:val="1"/>
        <w:rPr>
          <w:rFonts w:ascii="Times New Roman" w:eastAsia="Times New Roman" w:hAnsi="Times New Roman" w:cs="Times New Roman"/>
          <w:b/>
          <w:bCs/>
          <w:kern w:val="0"/>
          <w:sz w:val="28"/>
          <w:szCs w:val="28"/>
          <w:lang w:eastAsia="es-ES_tradnl"/>
          <w14:ligatures w14:val="none"/>
        </w:rPr>
      </w:pPr>
    </w:p>
    <w:p w14:paraId="7E58326D" w14:textId="77777777" w:rsidR="00CB13AB" w:rsidRDefault="00CB13AB" w:rsidP="00A60A94">
      <w:pPr>
        <w:spacing w:before="100" w:beforeAutospacing="1" w:after="100" w:afterAutospacing="1"/>
        <w:jc w:val="both"/>
        <w:outlineLvl w:val="1"/>
        <w:rPr>
          <w:rFonts w:ascii="Times New Roman" w:eastAsia="Times New Roman" w:hAnsi="Times New Roman" w:cs="Times New Roman"/>
          <w:b/>
          <w:bCs/>
          <w:kern w:val="0"/>
          <w:sz w:val="28"/>
          <w:szCs w:val="28"/>
          <w:lang w:eastAsia="es-ES_tradnl"/>
          <w14:ligatures w14:val="none"/>
        </w:rPr>
      </w:pPr>
    </w:p>
    <w:p w14:paraId="6BB72016" w14:textId="77777777" w:rsidR="00B9638C" w:rsidRDefault="00B9638C" w:rsidP="00A60A94">
      <w:pPr>
        <w:spacing w:before="100" w:beforeAutospacing="1" w:after="100" w:afterAutospacing="1"/>
        <w:jc w:val="both"/>
        <w:outlineLvl w:val="1"/>
        <w:rPr>
          <w:rFonts w:ascii="Times New Roman" w:eastAsia="Times New Roman" w:hAnsi="Times New Roman" w:cs="Times New Roman"/>
          <w:b/>
          <w:bCs/>
          <w:kern w:val="0"/>
          <w:sz w:val="28"/>
          <w:szCs w:val="28"/>
          <w:lang w:eastAsia="es-ES_tradnl"/>
          <w14:ligatures w14:val="none"/>
        </w:rPr>
      </w:pPr>
    </w:p>
    <w:p w14:paraId="00934D35" w14:textId="77777777" w:rsidR="00B9638C" w:rsidRDefault="00B9638C" w:rsidP="00A60A94">
      <w:pPr>
        <w:spacing w:before="100" w:beforeAutospacing="1" w:after="100" w:afterAutospacing="1"/>
        <w:jc w:val="both"/>
        <w:outlineLvl w:val="1"/>
        <w:rPr>
          <w:rFonts w:ascii="Times New Roman" w:eastAsia="Times New Roman" w:hAnsi="Times New Roman" w:cs="Times New Roman"/>
          <w:b/>
          <w:bCs/>
          <w:kern w:val="0"/>
          <w:sz w:val="28"/>
          <w:szCs w:val="28"/>
          <w:lang w:eastAsia="es-ES_tradnl"/>
          <w14:ligatures w14:val="none"/>
        </w:rPr>
      </w:pPr>
    </w:p>
    <w:p w14:paraId="62F08DB3" w14:textId="6B56EB71" w:rsidR="00A60A94" w:rsidRPr="00A60A94" w:rsidRDefault="00A60A94" w:rsidP="00A60A94">
      <w:pPr>
        <w:spacing w:before="100" w:beforeAutospacing="1" w:after="100" w:afterAutospacing="1"/>
        <w:jc w:val="both"/>
        <w:outlineLvl w:val="1"/>
        <w:rPr>
          <w:rFonts w:ascii="Times New Roman" w:eastAsia="Times New Roman" w:hAnsi="Times New Roman" w:cs="Times New Roman"/>
          <w:b/>
          <w:bCs/>
          <w:kern w:val="0"/>
          <w:sz w:val="28"/>
          <w:szCs w:val="28"/>
          <w:lang w:eastAsia="es-ES_tradnl"/>
          <w14:ligatures w14:val="none"/>
        </w:rPr>
      </w:pPr>
      <w:r w:rsidRPr="00A60A94">
        <w:rPr>
          <w:rFonts w:ascii="Times New Roman" w:eastAsia="Times New Roman" w:hAnsi="Times New Roman" w:cs="Times New Roman"/>
          <w:b/>
          <w:bCs/>
          <w:kern w:val="0"/>
          <w:sz w:val="28"/>
          <w:szCs w:val="28"/>
          <w:lang w:eastAsia="es-ES_tradnl"/>
          <w14:ligatures w14:val="none"/>
        </w:rPr>
        <w:t>Resumen</w:t>
      </w:r>
    </w:p>
    <w:p w14:paraId="4178E604" w14:textId="77777777" w:rsidR="00A60A94" w:rsidRPr="00ED7769" w:rsidRDefault="00A60A94" w:rsidP="00A60A94">
      <w:pPr>
        <w:spacing w:before="100" w:beforeAutospacing="1" w:after="100" w:afterAutospacing="1"/>
        <w:jc w:val="both"/>
        <w:rPr>
          <w:rFonts w:ascii="Times New Roman" w:eastAsia="Times New Roman" w:hAnsi="Times New Roman" w:cs="Times New Roman"/>
          <w:kern w:val="0"/>
          <w:lang w:eastAsia="es-ES_tradnl"/>
          <w14:ligatures w14:val="none"/>
        </w:rPr>
      </w:pPr>
      <w:r w:rsidRPr="00ED7769">
        <w:rPr>
          <w:rFonts w:ascii="Times New Roman" w:eastAsia="Times New Roman" w:hAnsi="Times New Roman" w:cs="Times New Roman"/>
          <w:kern w:val="0"/>
          <w:lang w:eastAsia="es-ES_tradnl"/>
          <w14:ligatures w14:val="none"/>
        </w:rPr>
        <w:t xml:space="preserve">El Reglamento (UE) 2016/679, General de Protección de Datos (RGPD), establece un régimen jurídico especialmente reforzado para el tratamiento de los datos de salud, al considerarlos una categoría especial de datos personales. Este trabajo analiza el marco normativo aplicable a dichos datos, examinando su concepto, las bases jurídicas que legitiman su tratamiento, las garantías exigidas y los derechos reconocidos a los interesados. Junto al análisis dogmático de las disposiciones del RGPD, se realiza una valoración crítica de su aplicación en el ámbito sanitario, poniendo de relieve las principales dificultades prácticas, </w:t>
      </w:r>
      <w:r>
        <w:rPr>
          <w:rFonts w:ascii="Times New Roman" w:eastAsia="Times New Roman" w:hAnsi="Times New Roman" w:cs="Times New Roman"/>
          <w:kern w:val="0"/>
          <w:lang w:eastAsia="es-ES_tradnl"/>
          <w14:ligatures w14:val="none"/>
        </w:rPr>
        <w:t>de manera destacada</w:t>
      </w:r>
      <w:r w:rsidRPr="00ED7769">
        <w:rPr>
          <w:rFonts w:ascii="Times New Roman" w:eastAsia="Times New Roman" w:hAnsi="Times New Roman" w:cs="Times New Roman"/>
          <w:kern w:val="0"/>
          <w:lang w:eastAsia="es-ES_tradnl"/>
          <w14:ligatures w14:val="none"/>
        </w:rPr>
        <w:t xml:space="preserve"> en relación con el consentimiento del paciente, la invocación del interés público en salud y la efectividad real de las garantías previstas. El estudio concluye con una reflexión sobre los límites del modelo actual y la necesidad de reforzar la seguridad jurídica y la protección efectiva de los datos de salud en la práctica asistencial.</w:t>
      </w:r>
    </w:p>
    <w:p w14:paraId="561D0710" w14:textId="77777777" w:rsidR="00A60A94" w:rsidRPr="00ED7769" w:rsidRDefault="00A60A94" w:rsidP="00A60A94">
      <w:pPr>
        <w:spacing w:before="100" w:beforeAutospacing="1" w:after="100" w:afterAutospacing="1"/>
        <w:jc w:val="both"/>
        <w:rPr>
          <w:rFonts w:ascii="Times New Roman" w:eastAsia="Times New Roman" w:hAnsi="Times New Roman" w:cs="Times New Roman"/>
          <w:kern w:val="0"/>
          <w:lang w:eastAsia="es-ES_tradnl"/>
          <w14:ligatures w14:val="none"/>
        </w:rPr>
      </w:pPr>
      <w:r w:rsidRPr="00ED7769">
        <w:rPr>
          <w:rFonts w:ascii="Times New Roman" w:eastAsia="Times New Roman" w:hAnsi="Times New Roman" w:cs="Times New Roman"/>
          <w:b/>
          <w:bCs/>
          <w:kern w:val="0"/>
          <w:lang w:eastAsia="es-ES_tradnl"/>
          <w14:ligatures w14:val="none"/>
        </w:rPr>
        <w:t>Palabras clave:</w:t>
      </w:r>
      <w:r w:rsidRPr="00ED7769">
        <w:rPr>
          <w:rFonts w:ascii="Times New Roman" w:eastAsia="Times New Roman" w:hAnsi="Times New Roman" w:cs="Times New Roman"/>
          <w:kern w:val="0"/>
          <w:lang w:eastAsia="es-ES_tradnl"/>
          <w14:ligatures w14:val="none"/>
        </w:rPr>
        <w:t xml:space="preserve"> Datos de salud; RGPD; Protección de datos; Consentimiento; Garantías jurídicas.</w:t>
      </w:r>
    </w:p>
    <w:p w14:paraId="32A4C1F6" w14:textId="77777777" w:rsidR="00A60A94" w:rsidRPr="00A60A94" w:rsidRDefault="00A60A94" w:rsidP="00A60A94">
      <w:pPr>
        <w:spacing w:before="100" w:beforeAutospacing="1" w:after="100" w:afterAutospacing="1"/>
        <w:jc w:val="both"/>
        <w:outlineLvl w:val="1"/>
        <w:rPr>
          <w:rFonts w:ascii="Times New Roman" w:eastAsia="Times New Roman" w:hAnsi="Times New Roman" w:cs="Times New Roman"/>
          <w:b/>
          <w:bCs/>
          <w:kern w:val="0"/>
          <w:sz w:val="28"/>
          <w:szCs w:val="28"/>
          <w:lang w:eastAsia="es-ES_tradnl"/>
          <w14:ligatures w14:val="none"/>
        </w:rPr>
      </w:pPr>
      <w:r w:rsidRPr="00A60A94">
        <w:rPr>
          <w:rFonts w:ascii="Times New Roman" w:eastAsia="Times New Roman" w:hAnsi="Times New Roman" w:cs="Times New Roman"/>
          <w:b/>
          <w:bCs/>
          <w:kern w:val="0"/>
          <w:sz w:val="28"/>
          <w:szCs w:val="28"/>
          <w:lang w:eastAsia="es-ES_tradnl"/>
          <w14:ligatures w14:val="none"/>
        </w:rPr>
        <w:t>Abstract</w:t>
      </w:r>
    </w:p>
    <w:p w14:paraId="75B1C957" w14:textId="77777777" w:rsidR="00A60A94" w:rsidRPr="00ED7769" w:rsidRDefault="00A60A94" w:rsidP="00A60A94">
      <w:pPr>
        <w:spacing w:before="100" w:beforeAutospacing="1" w:after="100" w:afterAutospacing="1"/>
        <w:jc w:val="both"/>
        <w:rPr>
          <w:rFonts w:ascii="Times New Roman" w:eastAsia="Times New Roman" w:hAnsi="Times New Roman" w:cs="Times New Roman"/>
          <w:kern w:val="0"/>
          <w:lang w:eastAsia="es-ES_tradnl"/>
          <w14:ligatures w14:val="none"/>
        </w:rPr>
      </w:pPr>
      <w:proofErr w:type="spellStart"/>
      <w:r w:rsidRPr="00ED7769">
        <w:rPr>
          <w:rFonts w:ascii="Times New Roman" w:eastAsia="Times New Roman" w:hAnsi="Times New Roman" w:cs="Times New Roman"/>
          <w:kern w:val="0"/>
          <w:lang w:eastAsia="es-ES_tradnl"/>
          <w14:ligatures w14:val="none"/>
        </w:rPr>
        <w:t>Regulation</w:t>
      </w:r>
      <w:proofErr w:type="spellEnd"/>
      <w:r w:rsidRPr="00ED7769">
        <w:rPr>
          <w:rFonts w:ascii="Times New Roman" w:eastAsia="Times New Roman" w:hAnsi="Times New Roman" w:cs="Times New Roman"/>
          <w:kern w:val="0"/>
          <w:lang w:eastAsia="es-ES_tradnl"/>
          <w14:ligatures w14:val="none"/>
        </w:rPr>
        <w:t xml:space="preserve"> (EU) 2016/679, the General Data </w:t>
      </w:r>
      <w:proofErr w:type="spellStart"/>
      <w:r w:rsidRPr="00ED7769">
        <w:rPr>
          <w:rFonts w:ascii="Times New Roman" w:eastAsia="Times New Roman" w:hAnsi="Times New Roman" w:cs="Times New Roman"/>
          <w:kern w:val="0"/>
          <w:lang w:eastAsia="es-ES_tradnl"/>
          <w14:ligatures w14:val="none"/>
        </w:rPr>
        <w:t>Protection</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Regulation</w:t>
      </w:r>
      <w:proofErr w:type="spellEnd"/>
      <w:r w:rsidRPr="00ED7769">
        <w:rPr>
          <w:rFonts w:ascii="Times New Roman" w:eastAsia="Times New Roman" w:hAnsi="Times New Roman" w:cs="Times New Roman"/>
          <w:kern w:val="0"/>
          <w:lang w:eastAsia="es-ES_tradnl"/>
          <w14:ligatures w14:val="none"/>
        </w:rPr>
        <w:t xml:space="preserve"> (GDPR), </w:t>
      </w:r>
      <w:proofErr w:type="spellStart"/>
      <w:r w:rsidRPr="00ED7769">
        <w:rPr>
          <w:rFonts w:ascii="Times New Roman" w:eastAsia="Times New Roman" w:hAnsi="Times New Roman" w:cs="Times New Roman"/>
          <w:kern w:val="0"/>
          <w:lang w:eastAsia="es-ES_tradnl"/>
          <w14:ligatures w14:val="none"/>
        </w:rPr>
        <w:t>establishes</w:t>
      </w:r>
      <w:proofErr w:type="spellEnd"/>
      <w:r w:rsidRPr="00ED7769">
        <w:rPr>
          <w:rFonts w:ascii="Times New Roman" w:eastAsia="Times New Roman" w:hAnsi="Times New Roman" w:cs="Times New Roman"/>
          <w:kern w:val="0"/>
          <w:lang w:eastAsia="es-ES_tradnl"/>
          <w14:ligatures w14:val="none"/>
        </w:rPr>
        <w:t xml:space="preserve"> a </w:t>
      </w:r>
      <w:proofErr w:type="spellStart"/>
      <w:r w:rsidRPr="00ED7769">
        <w:rPr>
          <w:rFonts w:ascii="Times New Roman" w:eastAsia="Times New Roman" w:hAnsi="Times New Roman" w:cs="Times New Roman"/>
          <w:kern w:val="0"/>
          <w:lang w:eastAsia="es-ES_tradnl"/>
          <w14:ligatures w14:val="none"/>
        </w:rPr>
        <w:t>particularly</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strict</w:t>
      </w:r>
      <w:proofErr w:type="spellEnd"/>
      <w:r w:rsidRPr="00ED7769">
        <w:rPr>
          <w:rFonts w:ascii="Times New Roman" w:eastAsia="Times New Roman" w:hAnsi="Times New Roman" w:cs="Times New Roman"/>
          <w:kern w:val="0"/>
          <w:lang w:eastAsia="es-ES_tradnl"/>
          <w14:ligatures w14:val="none"/>
        </w:rPr>
        <w:t xml:space="preserve"> legal framework </w:t>
      </w:r>
      <w:proofErr w:type="spellStart"/>
      <w:r w:rsidRPr="00ED7769">
        <w:rPr>
          <w:rFonts w:ascii="Times New Roman" w:eastAsia="Times New Roman" w:hAnsi="Times New Roman" w:cs="Times New Roman"/>
          <w:kern w:val="0"/>
          <w:lang w:eastAsia="es-ES_tradnl"/>
          <w14:ligatures w14:val="none"/>
        </w:rPr>
        <w:t>for</w:t>
      </w:r>
      <w:proofErr w:type="spellEnd"/>
      <w:r w:rsidRPr="00ED7769">
        <w:rPr>
          <w:rFonts w:ascii="Times New Roman" w:eastAsia="Times New Roman" w:hAnsi="Times New Roman" w:cs="Times New Roman"/>
          <w:kern w:val="0"/>
          <w:lang w:eastAsia="es-ES_tradnl"/>
          <w14:ligatures w14:val="none"/>
        </w:rPr>
        <w:t xml:space="preserve"> the </w:t>
      </w:r>
      <w:proofErr w:type="spellStart"/>
      <w:r w:rsidRPr="00ED7769">
        <w:rPr>
          <w:rFonts w:ascii="Times New Roman" w:eastAsia="Times New Roman" w:hAnsi="Times New Roman" w:cs="Times New Roman"/>
          <w:kern w:val="0"/>
          <w:lang w:eastAsia="es-ES_tradnl"/>
          <w14:ligatures w14:val="none"/>
        </w:rPr>
        <w:t>processing</w:t>
      </w:r>
      <w:proofErr w:type="spellEnd"/>
      <w:r w:rsidRPr="00ED7769">
        <w:rPr>
          <w:rFonts w:ascii="Times New Roman" w:eastAsia="Times New Roman" w:hAnsi="Times New Roman" w:cs="Times New Roman"/>
          <w:kern w:val="0"/>
          <w:lang w:eastAsia="es-ES_tradnl"/>
          <w14:ligatures w14:val="none"/>
        </w:rPr>
        <w:t xml:space="preserve"> of </w:t>
      </w:r>
      <w:proofErr w:type="spellStart"/>
      <w:r w:rsidRPr="00ED7769">
        <w:rPr>
          <w:rFonts w:ascii="Times New Roman" w:eastAsia="Times New Roman" w:hAnsi="Times New Roman" w:cs="Times New Roman"/>
          <w:kern w:val="0"/>
          <w:lang w:eastAsia="es-ES_tradnl"/>
          <w14:ligatures w14:val="none"/>
        </w:rPr>
        <w:t>health</w:t>
      </w:r>
      <w:proofErr w:type="spellEnd"/>
      <w:r w:rsidRPr="00ED7769">
        <w:rPr>
          <w:rFonts w:ascii="Times New Roman" w:eastAsia="Times New Roman" w:hAnsi="Times New Roman" w:cs="Times New Roman"/>
          <w:kern w:val="0"/>
          <w:lang w:eastAsia="es-ES_tradnl"/>
          <w14:ligatures w14:val="none"/>
        </w:rPr>
        <w:t xml:space="preserve"> data, </w:t>
      </w:r>
      <w:proofErr w:type="spellStart"/>
      <w:r w:rsidRPr="00ED7769">
        <w:rPr>
          <w:rFonts w:ascii="Times New Roman" w:eastAsia="Times New Roman" w:hAnsi="Times New Roman" w:cs="Times New Roman"/>
          <w:kern w:val="0"/>
          <w:lang w:eastAsia="es-ES_tradnl"/>
          <w14:ligatures w14:val="none"/>
        </w:rPr>
        <w:t>which</w:t>
      </w:r>
      <w:proofErr w:type="spellEnd"/>
      <w:r w:rsidRPr="00ED7769">
        <w:rPr>
          <w:rFonts w:ascii="Times New Roman" w:eastAsia="Times New Roman" w:hAnsi="Times New Roman" w:cs="Times New Roman"/>
          <w:kern w:val="0"/>
          <w:lang w:eastAsia="es-ES_tradnl"/>
          <w14:ligatures w14:val="none"/>
        </w:rPr>
        <w:t xml:space="preserve"> are </w:t>
      </w:r>
      <w:proofErr w:type="spellStart"/>
      <w:r w:rsidRPr="00ED7769">
        <w:rPr>
          <w:rFonts w:ascii="Times New Roman" w:eastAsia="Times New Roman" w:hAnsi="Times New Roman" w:cs="Times New Roman"/>
          <w:kern w:val="0"/>
          <w:lang w:eastAsia="es-ES_tradnl"/>
          <w14:ligatures w14:val="none"/>
        </w:rPr>
        <w:t>classified</w:t>
      </w:r>
      <w:proofErr w:type="spellEnd"/>
      <w:r w:rsidRPr="00ED7769">
        <w:rPr>
          <w:rFonts w:ascii="Times New Roman" w:eastAsia="Times New Roman" w:hAnsi="Times New Roman" w:cs="Times New Roman"/>
          <w:kern w:val="0"/>
          <w:lang w:eastAsia="es-ES_tradnl"/>
          <w14:ligatures w14:val="none"/>
        </w:rPr>
        <w:t xml:space="preserve"> as a </w:t>
      </w:r>
      <w:proofErr w:type="spellStart"/>
      <w:r w:rsidRPr="00ED7769">
        <w:rPr>
          <w:rFonts w:ascii="Times New Roman" w:eastAsia="Times New Roman" w:hAnsi="Times New Roman" w:cs="Times New Roman"/>
          <w:kern w:val="0"/>
          <w:lang w:eastAsia="es-ES_tradnl"/>
          <w14:ligatures w14:val="none"/>
        </w:rPr>
        <w:t>special</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category</w:t>
      </w:r>
      <w:proofErr w:type="spellEnd"/>
      <w:r w:rsidRPr="00ED7769">
        <w:rPr>
          <w:rFonts w:ascii="Times New Roman" w:eastAsia="Times New Roman" w:hAnsi="Times New Roman" w:cs="Times New Roman"/>
          <w:kern w:val="0"/>
          <w:lang w:eastAsia="es-ES_tradnl"/>
          <w14:ligatures w14:val="none"/>
        </w:rPr>
        <w:t xml:space="preserve"> of personal data. This </w:t>
      </w:r>
      <w:proofErr w:type="spellStart"/>
      <w:r w:rsidRPr="00ED7769">
        <w:rPr>
          <w:rFonts w:ascii="Times New Roman" w:eastAsia="Times New Roman" w:hAnsi="Times New Roman" w:cs="Times New Roman"/>
          <w:kern w:val="0"/>
          <w:lang w:eastAsia="es-ES_tradnl"/>
          <w14:ligatures w14:val="none"/>
        </w:rPr>
        <w:t>paper</w:t>
      </w:r>
      <w:proofErr w:type="spellEnd"/>
      <w:r w:rsidRPr="00ED7769">
        <w:rPr>
          <w:rFonts w:ascii="Times New Roman" w:eastAsia="Times New Roman" w:hAnsi="Times New Roman" w:cs="Times New Roman"/>
          <w:kern w:val="0"/>
          <w:lang w:eastAsia="es-ES_tradnl"/>
          <w14:ligatures w14:val="none"/>
        </w:rPr>
        <w:t xml:space="preserve"> examines the legal </w:t>
      </w:r>
      <w:proofErr w:type="spellStart"/>
      <w:r w:rsidRPr="00ED7769">
        <w:rPr>
          <w:rFonts w:ascii="Times New Roman" w:eastAsia="Times New Roman" w:hAnsi="Times New Roman" w:cs="Times New Roman"/>
          <w:kern w:val="0"/>
          <w:lang w:eastAsia="es-ES_tradnl"/>
          <w14:ligatures w14:val="none"/>
        </w:rPr>
        <w:t>regime</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applicable</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to</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health</w:t>
      </w:r>
      <w:proofErr w:type="spellEnd"/>
      <w:r w:rsidRPr="00ED7769">
        <w:rPr>
          <w:rFonts w:ascii="Times New Roman" w:eastAsia="Times New Roman" w:hAnsi="Times New Roman" w:cs="Times New Roman"/>
          <w:kern w:val="0"/>
          <w:lang w:eastAsia="es-ES_tradnl"/>
          <w14:ligatures w14:val="none"/>
        </w:rPr>
        <w:t xml:space="preserve"> data </w:t>
      </w:r>
      <w:proofErr w:type="spellStart"/>
      <w:r w:rsidRPr="00ED7769">
        <w:rPr>
          <w:rFonts w:ascii="Times New Roman" w:eastAsia="Times New Roman" w:hAnsi="Times New Roman" w:cs="Times New Roman"/>
          <w:kern w:val="0"/>
          <w:lang w:eastAsia="es-ES_tradnl"/>
          <w14:ligatures w14:val="none"/>
        </w:rPr>
        <w:t>under</w:t>
      </w:r>
      <w:proofErr w:type="spellEnd"/>
      <w:r w:rsidRPr="00ED7769">
        <w:rPr>
          <w:rFonts w:ascii="Times New Roman" w:eastAsia="Times New Roman" w:hAnsi="Times New Roman" w:cs="Times New Roman"/>
          <w:kern w:val="0"/>
          <w:lang w:eastAsia="es-ES_tradnl"/>
          <w14:ligatures w14:val="none"/>
        </w:rPr>
        <w:t xml:space="preserve"> the GDPR, </w:t>
      </w:r>
      <w:proofErr w:type="spellStart"/>
      <w:r w:rsidRPr="00ED7769">
        <w:rPr>
          <w:rFonts w:ascii="Times New Roman" w:eastAsia="Times New Roman" w:hAnsi="Times New Roman" w:cs="Times New Roman"/>
          <w:kern w:val="0"/>
          <w:lang w:eastAsia="es-ES_tradnl"/>
          <w14:ligatures w14:val="none"/>
        </w:rPr>
        <w:t>focusing</w:t>
      </w:r>
      <w:proofErr w:type="spellEnd"/>
      <w:r w:rsidRPr="00ED7769">
        <w:rPr>
          <w:rFonts w:ascii="Times New Roman" w:eastAsia="Times New Roman" w:hAnsi="Times New Roman" w:cs="Times New Roman"/>
          <w:kern w:val="0"/>
          <w:lang w:eastAsia="es-ES_tradnl"/>
          <w14:ligatures w14:val="none"/>
        </w:rPr>
        <w:t xml:space="preserve"> on </w:t>
      </w:r>
      <w:proofErr w:type="spellStart"/>
      <w:r w:rsidRPr="00ED7769">
        <w:rPr>
          <w:rFonts w:ascii="Times New Roman" w:eastAsia="Times New Roman" w:hAnsi="Times New Roman" w:cs="Times New Roman"/>
          <w:kern w:val="0"/>
          <w:lang w:eastAsia="es-ES_tradnl"/>
          <w14:ligatures w14:val="none"/>
        </w:rPr>
        <w:t>their</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definition</w:t>
      </w:r>
      <w:proofErr w:type="spellEnd"/>
      <w:r w:rsidRPr="00ED7769">
        <w:rPr>
          <w:rFonts w:ascii="Times New Roman" w:eastAsia="Times New Roman" w:hAnsi="Times New Roman" w:cs="Times New Roman"/>
          <w:kern w:val="0"/>
          <w:lang w:eastAsia="es-ES_tradnl"/>
          <w14:ligatures w14:val="none"/>
        </w:rPr>
        <w:t xml:space="preserve">, the </w:t>
      </w:r>
      <w:proofErr w:type="spellStart"/>
      <w:r w:rsidRPr="00ED7769">
        <w:rPr>
          <w:rFonts w:ascii="Times New Roman" w:eastAsia="Times New Roman" w:hAnsi="Times New Roman" w:cs="Times New Roman"/>
          <w:kern w:val="0"/>
          <w:lang w:eastAsia="es-ES_tradnl"/>
          <w14:ligatures w14:val="none"/>
        </w:rPr>
        <w:t>lawful</w:t>
      </w:r>
      <w:proofErr w:type="spellEnd"/>
      <w:r w:rsidRPr="00ED7769">
        <w:rPr>
          <w:rFonts w:ascii="Times New Roman" w:eastAsia="Times New Roman" w:hAnsi="Times New Roman" w:cs="Times New Roman"/>
          <w:kern w:val="0"/>
          <w:lang w:eastAsia="es-ES_tradnl"/>
          <w14:ligatures w14:val="none"/>
        </w:rPr>
        <w:t xml:space="preserve"> bases </w:t>
      </w:r>
      <w:proofErr w:type="spellStart"/>
      <w:r w:rsidRPr="00ED7769">
        <w:rPr>
          <w:rFonts w:ascii="Times New Roman" w:eastAsia="Times New Roman" w:hAnsi="Times New Roman" w:cs="Times New Roman"/>
          <w:kern w:val="0"/>
          <w:lang w:eastAsia="es-ES_tradnl"/>
          <w14:ligatures w14:val="none"/>
        </w:rPr>
        <w:t>for</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processing</w:t>
      </w:r>
      <w:proofErr w:type="spellEnd"/>
      <w:r w:rsidRPr="00ED7769">
        <w:rPr>
          <w:rFonts w:ascii="Times New Roman" w:eastAsia="Times New Roman" w:hAnsi="Times New Roman" w:cs="Times New Roman"/>
          <w:kern w:val="0"/>
          <w:lang w:eastAsia="es-ES_tradnl"/>
          <w14:ligatures w14:val="none"/>
        </w:rPr>
        <w:t xml:space="preserve">, the </w:t>
      </w:r>
      <w:proofErr w:type="spellStart"/>
      <w:r w:rsidRPr="00ED7769">
        <w:rPr>
          <w:rFonts w:ascii="Times New Roman" w:eastAsia="Times New Roman" w:hAnsi="Times New Roman" w:cs="Times New Roman"/>
          <w:kern w:val="0"/>
          <w:lang w:eastAsia="es-ES_tradnl"/>
          <w14:ligatures w14:val="none"/>
        </w:rPr>
        <w:t>specific</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safeguards</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required</w:t>
      </w:r>
      <w:proofErr w:type="spellEnd"/>
      <w:r w:rsidRPr="00ED7769">
        <w:rPr>
          <w:rFonts w:ascii="Times New Roman" w:eastAsia="Times New Roman" w:hAnsi="Times New Roman" w:cs="Times New Roman"/>
          <w:kern w:val="0"/>
          <w:lang w:eastAsia="es-ES_tradnl"/>
          <w14:ligatures w14:val="none"/>
        </w:rPr>
        <w:t xml:space="preserve">, and the </w:t>
      </w:r>
      <w:proofErr w:type="spellStart"/>
      <w:r w:rsidRPr="00ED7769">
        <w:rPr>
          <w:rFonts w:ascii="Times New Roman" w:eastAsia="Times New Roman" w:hAnsi="Times New Roman" w:cs="Times New Roman"/>
          <w:kern w:val="0"/>
          <w:lang w:eastAsia="es-ES_tradnl"/>
          <w14:ligatures w14:val="none"/>
        </w:rPr>
        <w:t>rights</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granted</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to</w:t>
      </w:r>
      <w:proofErr w:type="spellEnd"/>
      <w:r w:rsidRPr="00ED7769">
        <w:rPr>
          <w:rFonts w:ascii="Times New Roman" w:eastAsia="Times New Roman" w:hAnsi="Times New Roman" w:cs="Times New Roman"/>
          <w:kern w:val="0"/>
          <w:lang w:eastAsia="es-ES_tradnl"/>
          <w14:ligatures w14:val="none"/>
        </w:rPr>
        <w:t xml:space="preserve"> data </w:t>
      </w:r>
      <w:proofErr w:type="spellStart"/>
      <w:r w:rsidRPr="00ED7769">
        <w:rPr>
          <w:rFonts w:ascii="Times New Roman" w:eastAsia="Times New Roman" w:hAnsi="Times New Roman" w:cs="Times New Roman"/>
          <w:kern w:val="0"/>
          <w:lang w:eastAsia="es-ES_tradnl"/>
          <w14:ligatures w14:val="none"/>
        </w:rPr>
        <w:t>subjects</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Alongside</w:t>
      </w:r>
      <w:proofErr w:type="spellEnd"/>
      <w:r w:rsidRPr="00ED7769">
        <w:rPr>
          <w:rFonts w:ascii="Times New Roman" w:eastAsia="Times New Roman" w:hAnsi="Times New Roman" w:cs="Times New Roman"/>
          <w:kern w:val="0"/>
          <w:lang w:eastAsia="es-ES_tradnl"/>
          <w14:ligatures w14:val="none"/>
        </w:rPr>
        <w:t xml:space="preserve"> a doctrinal </w:t>
      </w:r>
      <w:proofErr w:type="spellStart"/>
      <w:r w:rsidRPr="00ED7769">
        <w:rPr>
          <w:rFonts w:ascii="Times New Roman" w:eastAsia="Times New Roman" w:hAnsi="Times New Roman" w:cs="Times New Roman"/>
          <w:kern w:val="0"/>
          <w:lang w:eastAsia="es-ES_tradnl"/>
          <w14:ligatures w14:val="none"/>
        </w:rPr>
        <w:t>analysis</w:t>
      </w:r>
      <w:proofErr w:type="spellEnd"/>
      <w:r w:rsidRPr="00ED7769">
        <w:rPr>
          <w:rFonts w:ascii="Times New Roman" w:eastAsia="Times New Roman" w:hAnsi="Times New Roman" w:cs="Times New Roman"/>
          <w:kern w:val="0"/>
          <w:lang w:eastAsia="es-ES_tradnl"/>
          <w14:ligatures w14:val="none"/>
        </w:rPr>
        <w:t xml:space="preserve"> of the </w:t>
      </w:r>
      <w:proofErr w:type="spellStart"/>
      <w:r w:rsidRPr="00ED7769">
        <w:rPr>
          <w:rFonts w:ascii="Times New Roman" w:eastAsia="Times New Roman" w:hAnsi="Times New Roman" w:cs="Times New Roman"/>
          <w:kern w:val="0"/>
          <w:lang w:eastAsia="es-ES_tradnl"/>
          <w14:ligatures w14:val="none"/>
        </w:rPr>
        <w:t>relevant</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provisions</w:t>
      </w:r>
      <w:proofErr w:type="spellEnd"/>
      <w:r w:rsidRPr="00ED7769">
        <w:rPr>
          <w:rFonts w:ascii="Times New Roman" w:eastAsia="Times New Roman" w:hAnsi="Times New Roman" w:cs="Times New Roman"/>
          <w:kern w:val="0"/>
          <w:lang w:eastAsia="es-ES_tradnl"/>
          <w14:ligatures w14:val="none"/>
        </w:rPr>
        <w:t xml:space="preserve"> of the GDPR, the study </w:t>
      </w:r>
      <w:proofErr w:type="spellStart"/>
      <w:r w:rsidRPr="00ED7769">
        <w:rPr>
          <w:rFonts w:ascii="Times New Roman" w:eastAsia="Times New Roman" w:hAnsi="Times New Roman" w:cs="Times New Roman"/>
          <w:kern w:val="0"/>
          <w:lang w:eastAsia="es-ES_tradnl"/>
          <w14:ligatures w14:val="none"/>
        </w:rPr>
        <w:t>offers</w:t>
      </w:r>
      <w:proofErr w:type="spellEnd"/>
      <w:r w:rsidRPr="00ED7769">
        <w:rPr>
          <w:rFonts w:ascii="Times New Roman" w:eastAsia="Times New Roman" w:hAnsi="Times New Roman" w:cs="Times New Roman"/>
          <w:kern w:val="0"/>
          <w:lang w:eastAsia="es-ES_tradnl"/>
          <w14:ligatures w14:val="none"/>
        </w:rPr>
        <w:t xml:space="preserve"> a </w:t>
      </w:r>
      <w:proofErr w:type="spellStart"/>
      <w:r w:rsidRPr="00ED7769">
        <w:rPr>
          <w:rFonts w:ascii="Times New Roman" w:eastAsia="Times New Roman" w:hAnsi="Times New Roman" w:cs="Times New Roman"/>
          <w:kern w:val="0"/>
          <w:lang w:eastAsia="es-ES_tradnl"/>
          <w14:ligatures w14:val="none"/>
        </w:rPr>
        <w:t>critical</w:t>
      </w:r>
      <w:proofErr w:type="spellEnd"/>
      <w:r w:rsidRPr="00ED7769">
        <w:rPr>
          <w:rFonts w:ascii="Times New Roman" w:eastAsia="Times New Roman" w:hAnsi="Times New Roman" w:cs="Times New Roman"/>
          <w:kern w:val="0"/>
          <w:lang w:eastAsia="es-ES_tradnl"/>
          <w14:ligatures w14:val="none"/>
        </w:rPr>
        <w:t xml:space="preserve"> assessment of </w:t>
      </w:r>
      <w:proofErr w:type="spellStart"/>
      <w:r w:rsidRPr="00ED7769">
        <w:rPr>
          <w:rFonts w:ascii="Times New Roman" w:eastAsia="Times New Roman" w:hAnsi="Times New Roman" w:cs="Times New Roman"/>
          <w:kern w:val="0"/>
          <w:lang w:eastAsia="es-ES_tradnl"/>
          <w14:ligatures w14:val="none"/>
        </w:rPr>
        <w:t>their</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practical</w:t>
      </w:r>
      <w:proofErr w:type="spellEnd"/>
      <w:r w:rsidRPr="00ED7769">
        <w:rPr>
          <w:rFonts w:ascii="Times New Roman" w:eastAsia="Times New Roman" w:hAnsi="Times New Roman" w:cs="Times New Roman"/>
          <w:kern w:val="0"/>
          <w:lang w:eastAsia="es-ES_tradnl"/>
          <w14:ligatures w14:val="none"/>
        </w:rPr>
        <w:t xml:space="preserve"> application in the </w:t>
      </w:r>
      <w:proofErr w:type="spellStart"/>
      <w:r w:rsidRPr="00ED7769">
        <w:rPr>
          <w:rFonts w:ascii="Times New Roman" w:eastAsia="Times New Roman" w:hAnsi="Times New Roman" w:cs="Times New Roman"/>
          <w:kern w:val="0"/>
          <w:lang w:eastAsia="es-ES_tradnl"/>
          <w14:ligatures w14:val="none"/>
        </w:rPr>
        <w:t>healthcare</w:t>
      </w:r>
      <w:proofErr w:type="spellEnd"/>
      <w:r w:rsidRPr="00ED7769">
        <w:rPr>
          <w:rFonts w:ascii="Times New Roman" w:eastAsia="Times New Roman" w:hAnsi="Times New Roman" w:cs="Times New Roman"/>
          <w:kern w:val="0"/>
          <w:lang w:eastAsia="es-ES_tradnl"/>
          <w14:ligatures w14:val="none"/>
        </w:rPr>
        <w:t xml:space="preserve"> sector, </w:t>
      </w:r>
      <w:proofErr w:type="spellStart"/>
      <w:r w:rsidRPr="00ED7769">
        <w:rPr>
          <w:rFonts w:ascii="Times New Roman" w:eastAsia="Times New Roman" w:hAnsi="Times New Roman" w:cs="Times New Roman"/>
          <w:kern w:val="0"/>
          <w:lang w:eastAsia="es-ES_tradnl"/>
          <w14:ligatures w14:val="none"/>
        </w:rPr>
        <w:t>highlighting</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key</w:t>
      </w:r>
      <w:proofErr w:type="spellEnd"/>
      <w:r w:rsidRPr="00ED7769">
        <w:rPr>
          <w:rFonts w:ascii="Times New Roman" w:eastAsia="Times New Roman" w:hAnsi="Times New Roman" w:cs="Times New Roman"/>
          <w:kern w:val="0"/>
          <w:lang w:eastAsia="es-ES_tradnl"/>
          <w14:ligatures w14:val="none"/>
        </w:rPr>
        <w:t xml:space="preserve"> challenges </w:t>
      </w:r>
      <w:proofErr w:type="spellStart"/>
      <w:r w:rsidRPr="00ED7769">
        <w:rPr>
          <w:rFonts w:ascii="Times New Roman" w:eastAsia="Times New Roman" w:hAnsi="Times New Roman" w:cs="Times New Roman"/>
          <w:kern w:val="0"/>
          <w:lang w:eastAsia="es-ES_tradnl"/>
          <w14:ligatures w14:val="none"/>
        </w:rPr>
        <w:t>related</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to</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patient</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consent</w:t>
      </w:r>
      <w:proofErr w:type="spellEnd"/>
      <w:r w:rsidRPr="00ED7769">
        <w:rPr>
          <w:rFonts w:ascii="Times New Roman" w:eastAsia="Times New Roman" w:hAnsi="Times New Roman" w:cs="Times New Roman"/>
          <w:kern w:val="0"/>
          <w:lang w:eastAsia="es-ES_tradnl"/>
          <w14:ligatures w14:val="none"/>
        </w:rPr>
        <w:t xml:space="preserve">, the use of </w:t>
      </w:r>
      <w:proofErr w:type="spellStart"/>
      <w:r w:rsidRPr="00ED7769">
        <w:rPr>
          <w:rFonts w:ascii="Times New Roman" w:eastAsia="Times New Roman" w:hAnsi="Times New Roman" w:cs="Times New Roman"/>
          <w:kern w:val="0"/>
          <w:lang w:eastAsia="es-ES_tradnl"/>
          <w14:ligatures w14:val="none"/>
        </w:rPr>
        <w:t>public</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interest</w:t>
      </w:r>
      <w:proofErr w:type="spellEnd"/>
      <w:r w:rsidRPr="00ED7769">
        <w:rPr>
          <w:rFonts w:ascii="Times New Roman" w:eastAsia="Times New Roman" w:hAnsi="Times New Roman" w:cs="Times New Roman"/>
          <w:kern w:val="0"/>
          <w:lang w:eastAsia="es-ES_tradnl"/>
          <w14:ligatures w14:val="none"/>
        </w:rPr>
        <w:t xml:space="preserve"> in the </w:t>
      </w:r>
      <w:proofErr w:type="spellStart"/>
      <w:r w:rsidRPr="00ED7769">
        <w:rPr>
          <w:rFonts w:ascii="Times New Roman" w:eastAsia="Times New Roman" w:hAnsi="Times New Roman" w:cs="Times New Roman"/>
          <w:kern w:val="0"/>
          <w:lang w:eastAsia="es-ES_tradnl"/>
          <w14:ligatures w14:val="none"/>
        </w:rPr>
        <w:t>field</w:t>
      </w:r>
      <w:proofErr w:type="spellEnd"/>
      <w:r w:rsidRPr="00ED7769">
        <w:rPr>
          <w:rFonts w:ascii="Times New Roman" w:eastAsia="Times New Roman" w:hAnsi="Times New Roman" w:cs="Times New Roman"/>
          <w:kern w:val="0"/>
          <w:lang w:eastAsia="es-ES_tradnl"/>
          <w14:ligatures w14:val="none"/>
        </w:rPr>
        <w:t xml:space="preserve"> of </w:t>
      </w:r>
      <w:proofErr w:type="spellStart"/>
      <w:r w:rsidRPr="00ED7769">
        <w:rPr>
          <w:rFonts w:ascii="Times New Roman" w:eastAsia="Times New Roman" w:hAnsi="Times New Roman" w:cs="Times New Roman"/>
          <w:kern w:val="0"/>
          <w:lang w:eastAsia="es-ES_tradnl"/>
          <w14:ligatures w14:val="none"/>
        </w:rPr>
        <w:t>public</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health</w:t>
      </w:r>
      <w:proofErr w:type="spellEnd"/>
      <w:r w:rsidRPr="00ED7769">
        <w:rPr>
          <w:rFonts w:ascii="Times New Roman" w:eastAsia="Times New Roman" w:hAnsi="Times New Roman" w:cs="Times New Roman"/>
          <w:kern w:val="0"/>
          <w:lang w:eastAsia="es-ES_tradnl"/>
          <w14:ligatures w14:val="none"/>
        </w:rPr>
        <w:t xml:space="preserve"> as a legal basis, and the </w:t>
      </w:r>
      <w:proofErr w:type="spellStart"/>
      <w:r w:rsidRPr="00ED7769">
        <w:rPr>
          <w:rFonts w:ascii="Times New Roman" w:eastAsia="Times New Roman" w:hAnsi="Times New Roman" w:cs="Times New Roman"/>
          <w:kern w:val="0"/>
          <w:lang w:eastAsia="es-ES_tradnl"/>
          <w14:ligatures w14:val="none"/>
        </w:rPr>
        <w:t>effective</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enforcement</w:t>
      </w:r>
      <w:proofErr w:type="spellEnd"/>
      <w:r w:rsidRPr="00ED7769">
        <w:rPr>
          <w:rFonts w:ascii="Times New Roman" w:eastAsia="Times New Roman" w:hAnsi="Times New Roman" w:cs="Times New Roman"/>
          <w:kern w:val="0"/>
          <w:lang w:eastAsia="es-ES_tradnl"/>
          <w14:ligatures w14:val="none"/>
        </w:rPr>
        <w:t xml:space="preserve"> of data </w:t>
      </w:r>
      <w:proofErr w:type="spellStart"/>
      <w:r w:rsidRPr="00ED7769">
        <w:rPr>
          <w:rFonts w:ascii="Times New Roman" w:eastAsia="Times New Roman" w:hAnsi="Times New Roman" w:cs="Times New Roman"/>
          <w:kern w:val="0"/>
          <w:lang w:eastAsia="es-ES_tradnl"/>
          <w14:ligatures w14:val="none"/>
        </w:rPr>
        <w:t>protection</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guarantees</w:t>
      </w:r>
      <w:proofErr w:type="spellEnd"/>
      <w:r w:rsidRPr="00ED7769">
        <w:rPr>
          <w:rFonts w:ascii="Times New Roman" w:eastAsia="Times New Roman" w:hAnsi="Times New Roman" w:cs="Times New Roman"/>
          <w:kern w:val="0"/>
          <w:lang w:eastAsia="es-ES_tradnl"/>
          <w14:ligatures w14:val="none"/>
        </w:rPr>
        <w:t xml:space="preserve">. The </w:t>
      </w:r>
      <w:proofErr w:type="spellStart"/>
      <w:r w:rsidRPr="00ED7769">
        <w:rPr>
          <w:rFonts w:ascii="Times New Roman" w:eastAsia="Times New Roman" w:hAnsi="Times New Roman" w:cs="Times New Roman"/>
          <w:kern w:val="0"/>
          <w:lang w:eastAsia="es-ES_tradnl"/>
          <w14:ligatures w14:val="none"/>
        </w:rPr>
        <w:t>paper</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concludes</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by</w:t>
      </w:r>
      <w:proofErr w:type="spellEnd"/>
      <w:r w:rsidRPr="00ED7769">
        <w:rPr>
          <w:rFonts w:ascii="Times New Roman" w:eastAsia="Times New Roman" w:hAnsi="Times New Roman" w:cs="Times New Roman"/>
          <w:kern w:val="0"/>
          <w:lang w:eastAsia="es-ES_tradnl"/>
          <w14:ligatures w14:val="none"/>
        </w:rPr>
        <w:t xml:space="preserve"> identifying the </w:t>
      </w:r>
      <w:proofErr w:type="spellStart"/>
      <w:r w:rsidRPr="00ED7769">
        <w:rPr>
          <w:rFonts w:ascii="Times New Roman" w:eastAsia="Times New Roman" w:hAnsi="Times New Roman" w:cs="Times New Roman"/>
          <w:kern w:val="0"/>
          <w:lang w:eastAsia="es-ES_tradnl"/>
          <w14:ligatures w14:val="none"/>
        </w:rPr>
        <w:t>limitations</w:t>
      </w:r>
      <w:proofErr w:type="spellEnd"/>
      <w:r w:rsidRPr="00ED7769">
        <w:rPr>
          <w:rFonts w:ascii="Times New Roman" w:eastAsia="Times New Roman" w:hAnsi="Times New Roman" w:cs="Times New Roman"/>
          <w:kern w:val="0"/>
          <w:lang w:eastAsia="es-ES_tradnl"/>
          <w14:ligatures w14:val="none"/>
        </w:rPr>
        <w:t xml:space="preserve"> of the </w:t>
      </w:r>
      <w:proofErr w:type="spellStart"/>
      <w:r w:rsidRPr="00ED7769">
        <w:rPr>
          <w:rFonts w:ascii="Times New Roman" w:eastAsia="Times New Roman" w:hAnsi="Times New Roman" w:cs="Times New Roman"/>
          <w:kern w:val="0"/>
          <w:lang w:eastAsia="es-ES_tradnl"/>
          <w14:ligatures w14:val="none"/>
        </w:rPr>
        <w:t>current</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regulatory</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model</w:t>
      </w:r>
      <w:proofErr w:type="spellEnd"/>
      <w:r w:rsidRPr="00ED7769">
        <w:rPr>
          <w:rFonts w:ascii="Times New Roman" w:eastAsia="Times New Roman" w:hAnsi="Times New Roman" w:cs="Times New Roman"/>
          <w:kern w:val="0"/>
          <w:lang w:eastAsia="es-ES_tradnl"/>
          <w14:ligatures w14:val="none"/>
        </w:rPr>
        <w:t xml:space="preserve"> and </w:t>
      </w:r>
      <w:proofErr w:type="spellStart"/>
      <w:r w:rsidRPr="00ED7769">
        <w:rPr>
          <w:rFonts w:ascii="Times New Roman" w:eastAsia="Times New Roman" w:hAnsi="Times New Roman" w:cs="Times New Roman"/>
          <w:kern w:val="0"/>
          <w:lang w:eastAsia="es-ES_tradnl"/>
          <w14:ligatures w14:val="none"/>
        </w:rPr>
        <w:t>underlining</w:t>
      </w:r>
      <w:proofErr w:type="spellEnd"/>
      <w:r w:rsidRPr="00ED7769">
        <w:rPr>
          <w:rFonts w:ascii="Times New Roman" w:eastAsia="Times New Roman" w:hAnsi="Times New Roman" w:cs="Times New Roman"/>
          <w:kern w:val="0"/>
          <w:lang w:eastAsia="es-ES_tradnl"/>
          <w14:ligatures w14:val="none"/>
        </w:rPr>
        <w:t xml:space="preserve"> the </w:t>
      </w:r>
      <w:proofErr w:type="spellStart"/>
      <w:r w:rsidRPr="00ED7769">
        <w:rPr>
          <w:rFonts w:ascii="Times New Roman" w:eastAsia="Times New Roman" w:hAnsi="Times New Roman" w:cs="Times New Roman"/>
          <w:kern w:val="0"/>
          <w:lang w:eastAsia="es-ES_tradnl"/>
          <w14:ligatures w14:val="none"/>
        </w:rPr>
        <w:t>need</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to</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strengthen</w:t>
      </w:r>
      <w:proofErr w:type="spellEnd"/>
      <w:r w:rsidRPr="00ED7769">
        <w:rPr>
          <w:rFonts w:ascii="Times New Roman" w:eastAsia="Times New Roman" w:hAnsi="Times New Roman" w:cs="Times New Roman"/>
          <w:kern w:val="0"/>
          <w:lang w:eastAsia="es-ES_tradnl"/>
          <w14:ligatures w14:val="none"/>
        </w:rPr>
        <w:t xml:space="preserve"> legal </w:t>
      </w:r>
      <w:proofErr w:type="spellStart"/>
      <w:r w:rsidRPr="00ED7769">
        <w:rPr>
          <w:rFonts w:ascii="Times New Roman" w:eastAsia="Times New Roman" w:hAnsi="Times New Roman" w:cs="Times New Roman"/>
          <w:kern w:val="0"/>
          <w:lang w:eastAsia="es-ES_tradnl"/>
          <w14:ligatures w14:val="none"/>
        </w:rPr>
        <w:t>certainty</w:t>
      </w:r>
      <w:proofErr w:type="spellEnd"/>
      <w:r w:rsidRPr="00ED7769">
        <w:rPr>
          <w:rFonts w:ascii="Times New Roman" w:eastAsia="Times New Roman" w:hAnsi="Times New Roman" w:cs="Times New Roman"/>
          <w:kern w:val="0"/>
          <w:lang w:eastAsia="es-ES_tradnl"/>
          <w14:ligatures w14:val="none"/>
        </w:rPr>
        <w:t xml:space="preserve"> and </w:t>
      </w:r>
      <w:proofErr w:type="spellStart"/>
      <w:r w:rsidRPr="00ED7769">
        <w:rPr>
          <w:rFonts w:ascii="Times New Roman" w:eastAsia="Times New Roman" w:hAnsi="Times New Roman" w:cs="Times New Roman"/>
          <w:kern w:val="0"/>
          <w:lang w:eastAsia="es-ES_tradnl"/>
          <w14:ligatures w14:val="none"/>
        </w:rPr>
        <w:t>effective</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protection</w:t>
      </w:r>
      <w:proofErr w:type="spellEnd"/>
      <w:r w:rsidRPr="00ED7769">
        <w:rPr>
          <w:rFonts w:ascii="Times New Roman" w:eastAsia="Times New Roman" w:hAnsi="Times New Roman" w:cs="Times New Roman"/>
          <w:kern w:val="0"/>
          <w:lang w:eastAsia="es-ES_tradnl"/>
          <w14:ligatures w14:val="none"/>
        </w:rPr>
        <w:t xml:space="preserve"> of </w:t>
      </w:r>
      <w:proofErr w:type="spellStart"/>
      <w:r w:rsidRPr="00ED7769">
        <w:rPr>
          <w:rFonts w:ascii="Times New Roman" w:eastAsia="Times New Roman" w:hAnsi="Times New Roman" w:cs="Times New Roman"/>
          <w:kern w:val="0"/>
          <w:lang w:eastAsia="es-ES_tradnl"/>
          <w14:ligatures w14:val="none"/>
        </w:rPr>
        <w:t>health</w:t>
      </w:r>
      <w:proofErr w:type="spellEnd"/>
      <w:r w:rsidRPr="00ED7769">
        <w:rPr>
          <w:rFonts w:ascii="Times New Roman" w:eastAsia="Times New Roman" w:hAnsi="Times New Roman" w:cs="Times New Roman"/>
          <w:kern w:val="0"/>
          <w:lang w:eastAsia="es-ES_tradnl"/>
          <w14:ligatures w14:val="none"/>
        </w:rPr>
        <w:t xml:space="preserve"> data in </w:t>
      </w:r>
      <w:proofErr w:type="spellStart"/>
      <w:r w:rsidRPr="00ED7769">
        <w:rPr>
          <w:rFonts w:ascii="Times New Roman" w:eastAsia="Times New Roman" w:hAnsi="Times New Roman" w:cs="Times New Roman"/>
          <w:kern w:val="0"/>
          <w:lang w:eastAsia="es-ES_tradnl"/>
          <w14:ligatures w14:val="none"/>
        </w:rPr>
        <w:t>healthcare</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practice</w:t>
      </w:r>
      <w:proofErr w:type="spellEnd"/>
      <w:r w:rsidRPr="00ED7769">
        <w:rPr>
          <w:rFonts w:ascii="Times New Roman" w:eastAsia="Times New Roman" w:hAnsi="Times New Roman" w:cs="Times New Roman"/>
          <w:kern w:val="0"/>
          <w:lang w:eastAsia="es-ES_tradnl"/>
          <w14:ligatures w14:val="none"/>
        </w:rPr>
        <w:t>.</w:t>
      </w:r>
    </w:p>
    <w:p w14:paraId="4085F9AE" w14:textId="77777777" w:rsidR="00A60A94" w:rsidRDefault="00A60A94" w:rsidP="00A60A94">
      <w:pPr>
        <w:spacing w:before="100" w:beforeAutospacing="1" w:after="100" w:afterAutospacing="1"/>
        <w:jc w:val="both"/>
        <w:rPr>
          <w:rFonts w:ascii="Times New Roman" w:eastAsia="Times New Roman" w:hAnsi="Times New Roman" w:cs="Times New Roman"/>
          <w:kern w:val="0"/>
          <w:lang w:eastAsia="es-ES_tradnl"/>
          <w14:ligatures w14:val="none"/>
        </w:rPr>
      </w:pPr>
      <w:proofErr w:type="spellStart"/>
      <w:r w:rsidRPr="00ED7769">
        <w:rPr>
          <w:rFonts w:ascii="Times New Roman" w:eastAsia="Times New Roman" w:hAnsi="Times New Roman" w:cs="Times New Roman"/>
          <w:b/>
          <w:bCs/>
          <w:kern w:val="0"/>
          <w:lang w:eastAsia="es-ES_tradnl"/>
          <w14:ligatures w14:val="none"/>
        </w:rPr>
        <w:t>Keywords</w:t>
      </w:r>
      <w:proofErr w:type="spellEnd"/>
      <w:r w:rsidRPr="00ED7769">
        <w:rPr>
          <w:rFonts w:ascii="Times New Roman" w:eastAsia="Times New Roman" w:hAnsi="Times New Roman" w:cs="Times New Roman"/>
          <w:b/>
          <w:bCs/>
          <w:kern w:val="0"/>
          <w:lang w:eastAsia="es-ES_tradnl"/>
          <w14:ligatures w14:val="none"/>
        </w:rPr>
        <w:t>:</w:t>
      </w:r>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Health</w:t>
      </w:r>
      <w:proofErr w:type="spellEnd"/>
      <w:r w:rsidRPr="00ED7769">
        <w:rPr>
          <w:rFonts w:ascii="Times New Roman" w:eastAsia="Times New Roman" w:hAnsi="Times New Roman" w:cs="Times New Roman"/>
          <w:kern w:val="0"/>
          <w:lang w:eastAsia="es-ES_tradnl"/>
          <w14:ligatures w14:val="none"/>
        </w:rPr>
        <w:t xml:space="preserve"> data; GDPR; Data </w:t>
      </w:r>
      <w:proofErr w:type="spellStart"/>
      <w:r w:rsidRPr="00ED7769">
        <w:rPr>
          <w:rFonts w:ascii="Times New Roman" w:eastAsia="Times New Roman" w:hAnsi="Times New Roman" w:cs="Times New Roman"/>
          <w:kern w:val="0"/>
          <w:lang w:eastAsia="es-ES_tradnl"/>
          <w14:ligatures w14:val="none"/>
        </w:rPr>
        <w:t>protection</w:t>
      </w:r>
      <w:proofErr w:type="spellEnd"/>
      <w:r w:rsidRPr="00ED7769">
        <w:rPr>
          <w:rFonts w:ascii="Times New Roman" w:eastAsia="Times New Roman" w:hAnsi="Times New Roman" w:cs="Times New Roman"/>
          <w:kern w:val="0"/>
          <w:lang w:eastAsia="es-ES_tradnl"/>
          <w14:ligatures w14:val="none"/>
        </w:rPr>
        <w:t xml:space="preserve">; </w:t>
      </w:r>
      <w:proofErr w:type="spellStart"/>
      <w:r w:rsidRPr="00ED7769">
        <w:rPr>
          <w:rFonts w:ascii="Times New Roman" w:eastAsia="Times New Roman" w:hAnsi="Times New Roman" w:cs="Times New Roman"/>
          <w:kern w:val="0"/>
          <w:lang w:eastAsia="es-ES_tradnl"/>
          <w14:ligatures w14:val="none"/>
        </w:rPr>
        <w:t>Consent</w:t>
      </w:r>
      <w:proofErr w:type="spellEnd"/>
      <w:r w:rsidRPr="00ED7769">
        <w:rPr>
          <w:rFonts w:ascii="Times New Roman" w:eastAsia="Times New Roman" w:hAnsi="Times New Roman" w:cs="Times New Roman"/>
          <w:kern w:val="0"/>
          <w:lang w:eastAsia="es-ES_tradnl"/>
          <w14:ligatures w14:val="none"/>
        </w:rPr>
        <w:t xml:space="preserve">; Legal </w:t>
      </w:r>
      <w:proofErr w:type="spellStart"/>
      <w:r w:rsidRPr="00ED7769">
        <w:rPr>
          <w:rFonts w:ascii="Times New Roman" w:eastAsia="Times New Roman" w:hAnsi="Times New Roman" w:cs="Times New Roman"/>
          <w:kern w:val="0"/>
          <w:lang w:eastAsia="es-ES_tradnl"/>
          <w14:ligatures w14:val="none"/>
        </w:rPr>
        <w:t>safeguards</w:t>
      </w:r>
      <w:proofErr w:type="spellEnd"/>
      <w:r w:rsidRPr="00ED7769">
        <w:rPr>
          <w:rFonts w:ascii="Times New Roman" w:eastAsia="Times New Roman" w:hAnsi="Times New Roman" w:cs="Times New Roman"/>
          <w:kern w:val="0"/>
          <w:lang w:eastAsia="es-ES_tradnl"/>
          <w14:ligatures w14:val="none"/>
        </w:rPr>
        <w:t>.</w:t>
      </w:r>
    </w:p>
    <w:p w14:paraId="76605444" w14:textId="77777777" w:rsidR="00CB13AB" w:rsidRDefault="00CB13AB" w:rsidP="00A60A94">
      <w:pPr>
        <w:spacing w:before="100" w:beforeAutospacing="1" w:after="100" w:afterAutospacing="1"/>
        <w:jc w:val="both"/>
        <w:rPr>
          <w:rFonts w:ascii="Times New Roman" w:eastAsia="Times New Roman" w:hAnsi="Times New Roman" w:cs="Times New Roman"/>
          <w:kern w:val="0"/>
          <w:sz w:val="28"/>
          <w:szCs w:val="28"/>
          <w:lang w:eastAsia="es-ES_tradnl"/>
          <w14:ligatures w14:val="none"/>
        </w:rPr>
      </w:pPr>
    </w:p>
    <w:p w14:paraId="20702DE0" w14:textId="77777777" w:rsidR="00CB13AB" w:rsidRDefault="00CB13AB" w:rsidP="00A60A94">
      <w:pPr>
        <w:spacing w:before="100" w:beforeAutospacing="1" w:after="100" w:afterAutospacing="1"/>
        <w:jc w:val="both"/>
        <w:rPr>
          <w:rFonts w:ascii="Times New Roman" w:eastAsia="Times New Roman" w:hAnsi="Times New Roman" w:cs="Times New Roman"/>
          <w:kern w:val="0"/>
          <w:sz w:val="28"/>
          <w:szCs w:val="28"/>
          <w:lang w:eastAsia="es-ES_tradnl"/>
          <w14:ligatures w14:val="none"/>
        </w:rPr>
      </w:pPr>
    </w:p>
    <w:p w14:paraId="3DC36472" w14:textId="77777777" w:rsidR="00CB13AB" w:rsidRDefault="00CB13AB" w:rsidP="00A60A94">
      <w:pPr>
        <w:spacing w:before="100" w:beforeAutospacing="1" w:after="100" w:afterAutospacing="1"/>
        <w:jc w:val="both"/>
        <w:rPr>
          <w:rFonts w:ascii="Times New Roman" w:eastAsia="Times New Roman" w:hAnsi="Times New Roman" w:cs="Times New Roman"/>
          <w:kern w:val="0"/>
          <w:sz w:val="28"/>
          <w:szCs w:val="28"/>
          <w:lang w:eastAsia="es-ES_tradnl"/>
          <w14:ligatures w14:val="none"/>
        </w:rPr>
      </w:pPr>
    </w:p>
    <w:p w14:paraId="3EF64595" w14:textId="77777777" w:rsidR="00CB13AB" w:rsidRDefault="00CB13AB" w:rsidP="00A60A94">
      <w:pPr>
        <w:spacing w:before="100" w:beforeAutospacing="1" w:after="100" w:afterAutospacing="1"/>
        <w:jc w:val="both"/>
        <w:rPr>
          <w:rFonts w:ascii="Times New Roman" w:eastAsia="Times New Roman" w:hAnsi="Times New Roman" w:cs="Times New Roman"/>
          <w:kern w:val="0"/>
          <w:sz w:val="28"/>
          <w:szCs w:val="28"/>
          <w:lang w:eastAsia="es-ES_tradnl"/>
          <w14:ligatures w14:val="none"/>
        </w:rPr>
      </w:pPr>
    </w:p>
    <w:p w14:paraId="1EEE828F" w14:textId="0BF13120" w:rsidR="00CB13AB" w:rsidRPr="00CB13AB" w:rsidRDefault="00CB13AB" w:rsidP="00A60A94">
      <w:pPr>
        <w:spacing w:before="100" w:beforeAutospacing="1" w:after="100" w:afterAutospacing="1"/>
        <w:jc w:val="both"/>
        <w:rPr>
          <w:rFonts w:ascii="Times New Roman" w:eastAsia="Times New Roman" w:hAnsi="Times New Roman" w:cs="Times New Roman"/>
          <w:kern w:val="0"/>
          <w:sz w:val="28"/>
          <w:szCs w:val="28"/>
          <w:lang w:eastAsia="es-ES_tradnl"/>
          <w14:ligatures w14:val="none"/>
        </w:rPr>
      </w:pPr>
      <w:r w:rsidRPr="00CB13AB">
        <w:rPr>
          <w:rFonts w:ascii="Times New Roman" w:eastAsia="Times New Roman" w:hAnsi="Times New Roman" w:cs="Times New Roman"/>
          <w:kern w:val="0"/>
          <w:sz w:val="28"/>
          <w:szCs w:val="28"/>
          <w:lang w:eastAsia="es-ES_tradnl"/>
          <w14:ligatures w14:val="none"/>
        </w:rPr>
        <w:t>SUMARIO</w:t>
      </w:r>
    </w:p>
    <w:p w14:paraId="36A45FE9" w14:textId="68A62A2F" w:rsidR="00C553DA" w:rsidRPr="00C553DA" w:rsidRDefault="00D0168D" w:rsidP="009A2AD4">
      <w:pPr>
        <w:pStyle w:val="NormalWeb"/>
        <w:rPr>
          <w:rStyle w:val="Fuerte"/>
          <w:b w:val="0"/>
          <w:bCs w:val="0"/>
          <w:sz w:val="20"/>
          <w:szCs w:val="20"/>
        </w:rPr>
      </w:pPr>
      <w:r>
        <w:rPr>
          <w:rStyle w:val="Fuerte"/>
          <w:rFonts w:eastAsiaTheme="majorEastAsia"/>
          <w:sz w:val="20"/>
          <w:szCs w:val="20"/>
        </w:rPr>
        <w:t>1</w:t>
      </w:r>
      <w:r w:rsidR="00C553DA" w:rsidRPr="00C553DA">
        <w:rPr>
          <w:rStyle w:val="Fuerte"/>
          <w:rFonts w:eastAsiaTheme="majorEastAsia"/>
          <w:sz w:val="20"/>
          <w:szCs w:val="20"/>
        </w:rPr>
        <w:t>. Introducción</w:t>
      </w:r>
    </w:p>
    <w:p w14:paraId="638CD95E" w14:textId="494E8B0C" w:rsidR="00D0168D" w:rsidRDefault="00D0168D" w:rsidP="009A2AD4">
      <w:pPr>
        <w:spacing w:before="100" w:beforeAutospacing="1" w:after="100" w:afterAutospacing="1"/>
        <w:outlineLvl w:val="0"/>
        <w:rPr>
          <w:rFonts w:ascii="Times New Roman" w:eastAsia="Times New Roman" w:hAnsi="Times New Roman" w:cs="Times New Roman"/>
          <w:b/>
          <w:bCs/>
          <w:kern w:val="36"/>
          <w:sz w:val="20"/>
          <w:szCs w:val="20"/>
          <w:lang w:eastAsia="es-ES_tradnl"/>
          <w14:ligatures w14:val="none"/>
        </w:rPr>
      </w:pPr>
      <w:r>
        <w:rPr>
          <w:rFonts w:ascii="Times New Roman" w:eastAsia="Times New Roman" w:hAnsi="Times New Roman" w:cs="Times New Roman"/>
          <w:b/>
          <w:bCs/>
          <w:kern w:val="36"/>
          <w:sz w:val="20"/>
          <w:szCs w:val="20"/>
          <w:lang w:eastAsia="es-ES_tradnl"/>
          <w14:ligatures w14:val="none"/>
        </w:rPr>
        <w:t>2</w:t>
      </w:r>
      <w:r w:rsidRPr="00D0168D">
        <w:rPr>
          <w:rFonts w:ascii="Times New Roman" w:eastAsia="Times New Roman" w:hAnsi="Times New Roman" w:cs="Times New Roman"/>
          <w:b/>
          <w:bCs/>
          <w:kern w:val="36"/>
          <w:sz w:val="20"/>
          <w:szCs w:val="20"/>
          <w:lang w:eastAsia="es-ES_tradnl"/>
          <w14:ligatures w14:val="none"/>
        </w:rPr>
        <w:t>. El concepto de datos de salud en el RGPD</w:t>
      </w:r>
    </w:p>
    <w:p w14:paraId="04447553" w14:textId="349BEC4C" w:rsidR="00D0168D" w:rsidRPr="001F78E7" w:rsidRDefault="00D0168D" w:rsidP="009A2AD4">
      <w:pPr>
        <w:spacing w:before="100" w:beforeAutospacing="1" w:after="100" w:afterAutospacing="1"/>
        <w:ind w:firstLine="708"/>
        <w:outlineLvl w:val="1"/>
        <w:rPr>
          <w:rFonts w:ascii="Times New Roman" w:eastAsia="Times New Roman" w:hAnsi="Times New Roman" w:cs="Times New Roman"/>
          <w:kern w:val="0"/>
          <w:sz w:val="20"/>
          <w:szCs w:val="20"/>
          <w:lang w:eastAsia="es-ES_tradnl"/>
          <w14:ligatures w14:val="none"/>
        </w:rPr>
      </w:pPr>
      <w:r w:rsidRPr="001F78E7">
        <w:rPr>
          <w:rFonts w:ascii="Times New Roman" w:eastAsia="Times New Roman" w:hAnsi="Times New Roman" w:cs="Times New Roman"/>
          <w:kern w:val="0"/>
          <w:sz w:val="20"/>
          <w:szCs w:val="20"/>
          <w:lang w:eastAsia="es-ES_tradnl"/>
          <w14:ligatures w14:val="none"/>
        </w:rPr>
        <w:t>2.1. Alcance y criterios interpretativos del concepto de datos de salud</w:t>
      </w:r>
    </w:p>
    <w:p w14:paraId="0AE27A9A" w14:textId="73E293AA" w:rsidR="00D0168D" w:rsidRPr="001F78E7" w:rsidRDefault="00D0168D" w:rsidP="009A2AD4">
      <w:pPr>
        <w:spacing w:before="100" w:beforeAutospacing="1" w:after="100" w:afterAutospacing="1"/>
        <w:ind w:firstLine="708"/>
        <w:jc w:val="both"/>
        <w:outlineLvl w:val="1"/>
        <w:rPr>
          <w:rStyle w:val="Fuerte"/>
          <w:rFonts w:ascii="Times New Roman" w:eastAsia="Times New Roman" w:hAnsi="Times New Roman" w:cs="Times New Roman"/>
          <w:kern w:val="0"/>
          <w:sz w:val="20"/>
          <w:szCs w:val="20"/>
          <w:lang w:eastAsia="es-ES_tradnl"/>
          <w14:ligatures w14:val="none"/>
        </w:rPr>
      </w:pPr>
      <w:r w:rsidRPr="001F78E7">
        <w:rPr>
          <w:rFonts w:ascii="Times New Roman" w:eastAsia="Times New Roman" w:hAnsi="Times New Roman" w:cs="Times New Roman"/>
          <w:kern w:val="0"/>
          <w:sz w:val="20"/>
          <w:szCs w:val="20"/>
          <w:lang w:eastAsia="es-ES_tradnl"/>
          <w14:ligatures w14:val="none"/>
        </w:rPr>
        <w:t>2.2. Consecuencias jurídicas de una concepción amplia de los datos de salud</w:t>
      </w:r>
    </w:p>
    <w:p w14:paraId="06E243AC" w14:textId="5CD1E325" w:rsidR="00C553DA" w:rsidRPr="00C553DA" w:rsidRDefault="00D0168D" w:rsidP="009A2AD4">
      <w:pPr>
        <w:pStyle w:val="NormalWeb"/>
        <w:jc w:val="both"/>
        <w:rPr>
          <w:sz w:val="20"/>
          <w:szCs w:val="20"/>
        </w:rPr>
      </w:pPr>
      <w:r>
        <w:rPr>
          <w:rStyle w:val="Fuerte"/>
          <w:rFonts w:eastAsiaTheme="majorEastAsia"/>
          <w:sz w:val="20"/>
          <w:szCs w:val="20"/>
        </w:rPr>
        <w:t>3</w:t>
      </w:r>
      <w:r w:rsidR="00C553DA" w:rsidRPr="00C553DA">
        <w:rPr>
          <w:rStyle w:val="Fuerte"/>
          <w:rFonts w:eastAsiaTheme="majorEastAsia"/>
          <w:sz w:val="20"/>
          <w:szCs w:val="20"/>
        </w:rPr>
        <w:t xml:space="preserve">. El régimen jurídico del tratamiento de los datos de salud </w:t>
      </w:r>
    </w:p>
    <w:p w14:paraId="314ADA8D" w14:textId="3889D93A" w:rsidR="00C553DA" w:rsidRPr="001F78E7" w:rsidRDefault="00D0168D" w:rsidP="009A2AD4">
      <w:pPr>
        <w:pStyle w:val="NormalWeb"/>
        <w:ind w:left="720"/>
        <w:jc w:val="both"/>
        <w:rPr>
          <w:b/>
          <w:bCs/>
          <w:sz w:val="20"/>
          <w:szCs w:val="20"/>
        </w:rPr>
      </w:pPr>
      <w:r w:rsidRPr="001F78E7">
        <w:rPr>
          <w:rStyle w:val="Fuerte"/>
          <w:rFonts w:eastAsiaTheme="majorEastAsia"/>
          <w:b w:val="0"/>
          <w:bCs w:val="0"/>
          <w:sz w:val="20"/>
          <w:szCs w:val="20"/>
        </w:rPr>
        <w:t>3</w:t>
      </w:r>
      <w:r w:rsidR="00C553DA" w:rsidRPr="001F78E7">
        <w:rPr>
          <w:rStyle w:val="Fuerte"/>
          <w:rFonts w:eastAsiaTheme="majorEastAsia"/>
          <w:b w:val="0"/>
          <w:bCs w:val="0"/>
          <w:sz w:val="20"/>
          <w:szCs w:val="20"/>
        </w:rPr>
        <w:t>.1. La prohibición general del artículo 9.1 RGPD y su justificación</w:t>
      </w:r>
    </w:p>
    <w:p w14:paraId="1FAF2E7D" w14:textId="43218129" w:rsidR="00C553DA" w:rsidRPr="001F78E7" w:rsidRDefault="00D0168D" w:rsidP="009A2AD4">
      <w:pPr>
        <w:pStyle w:val="NormalWeb"/>
        <w:ind w:left="720"/>
        <w:jc w:val="both"/>
        <w:rPr>
          <w:b/>
          <w:bCs/>
          <w:sz w:val="20"/>
          <w:szCs w:val="20"/>
        </w:rPr>
      </w:pPr>
      <w:r w:rsidRPr="001F78E7">
        <w:rPr>
          <w:rStyle w:val="Fuerte"/>
          <w:rFonts w:eastAsiaTheme="majorEastAsia"/>
          <w:b w:val="0"/>
          <w:bCs w:val="0"/>
          <w:sz w:val="20"/>
          <w:szCs w:val="20"/>
        </w:rPr>
        <w:t>3</w:t>
      </w:r>
      <w:r w:rsidR="00C553DA" w:rsidRPr="001F78E7">
        <w:rPr>
          <w:rStyle w:val="Fuerte"/>
          <w:rFonts w:eastAsiaTheme="majorEastAsia"/>
          <w:b w:val="0"/>
          <w:bCs w:val="0"/>
          <w:sz w:val="20"/>
          <w:szCs w:val="20"/>
        </w:rPr>
        <w:t>.2. Las excepciones al régimen de prohibición y sus límites</w:t>
      </w:r>
    </w:p>
    <w:p w14:paraId="1E89A08F" w14:textId="57FACF0D" w:rsidR="00C553DA" w:rsidRPr="00C553DA" w:rsidRDefault="00D0168D" w:rsidP="009A2AD4">
      <w:pPr>
        <w:pStyle w:val="NormalWeb"/>
        <w:rPr>
          <w:sz w:val="20"/>
          <w:szCs w:val="20"/>
        </w:rPr>
      </w:pPr>
      <w:r>
        <w:rPr>
          <w:rStyle w:val="Fuerte"/>
          <w:rFonts w:eastAsiaTheme="majorEastAsia"/>
          <w:sz w:val="20"/>
          <w:szCs w:val="20"/>
        </w:rPr>
        <w:t>4</w:t>
      </w:r>
      <w:r w:rsidR="00C553DA" w:rsidRPr="00C553DA">
        <w:rPr>
          <w:rStyle w:val="Fuerte"/>
          <w:rFonts w:eastAsiaTheme="majorEastAsia"/>
          <w:sz w:val="20"/>
          <w:szCs w:val="20"/>
        </w:rPr>
        <w:t xml:space="preserve">. </w:t>
      </w:r>
      <w:r w:rsidR="005B6A1E" w:rsidRPr="005B6A1E">
        <w:rPr>
          <w:b/>
          <w:bCs/>
          <w:sz w:val="20"/>
          <w:szCs w:val="20"/>
        </w:rPr>
        <w:t>El Espacio Europeo de Datos Sanitarios y el equilibrio entre protección de datos e investigación</w:t>
      </w:r>
    </w:p>
    <w:p w14:paraId="20E14087" w14:textId="41B940B8" w:rsidR="00C553DA" w:rsidRPr="001F78E7" w:rsidRDefault="00D0168D" w:rsidP="009A2AD4">
      <w:pPr>
        <w:pStyle w:val="NormalWeb"/>
        <w:ind w:left="720"/>
        <w:rPr>
          <w:sz w:val="20"/>
          <w:szCs w:val="20"/>
        </w:rPr>
      </w:pPr>
      <w:r w:rsidRPr="001F78E7">
        <w:rPr>
          <w:rStyle w:val="Fuerte"/>
          <w:rFonts w:eastAsiaTheme="majorEastAsia"/>
          <w:b w:val="0"/>
          <w:bCs w:val="0"/>
          <w:sz w:val="20"/>
          <w:szCs w:val="20"/>
        </w:rPr>
        <w:t>4</w:t>
      </w:r>
      <w:r w:rsidR="00C553DA" w:rsidRPr="001F78E7">
        <w:rPr>
          <w:rStyle w:val="Fuerte"/>
          <w:rFonts w:eastAsiaTheme="majorEastAsia"/>
          <w:b w:val="0"/>
          <w:bCs w:val="0"/>
          <w:sz w:val="20"/>
          <w:szCs w:val="20"/>
        </w:rPr>
        <w:t>.1. El Espacio Europeo de Datos Sanitarios: objetivos y alcance</w:t>
      </w:r>
    </w:p>
    <w:p w14:paraId="1BD6ABB7" w14:textId="2ACFD5AA" w:rsidR="00C553DA" w:rsidRPr="001F78E7" w:rsidRDefault="00D0168D" w:rsidP="009A2AD4">
      <w:pPr>
        <w:pStyle w:val="NormalWeb"/>
        <w:ind w:left="720"/>
        <w:rPr>
          <w:rStyle w:val="Fuerte"/>
          <w:b w:val="0"/>
          <w:bCs w:val="0"/>
          <w:sz w:val="20"/>
          <w:szCs w:val="20"/>
        </w:rPr>
      </w:pPr>
      <w:r w:rsidRPr="001F78E7">
        <w:rPr>
          <w:rStyle w:val="Fuerte"/>
          <w:rFonts w:eastAsiaTheme="majorEastAsia"/>
          <w:b w:val="0"/>
          <w:bCs w:val="0"/>
          <w:sz w:val="20"/>
          <w:szCs w:val="20"/>
        </w:rPr>
        <w:t>4</w:t>
      </w:r>
      <w:r w:rsidR="00C553DA" w:rsidRPr="001F78E7">
        <w:rPr>
          <w:rStyle w:val="Fuerte"/>
          <w:rFonts w:eastAsiaTheme="majorEastAsia"/>
          <w:b w:val="0"/>
          <w:bCs w:val="0"/>
          <w:sz w:val="20"/>
          <w:szCs w:val="20"/>
        </w:rPr>
        <w:t xml:space="preserve">.2. </w:t>
      </w:r>
      <w:r w:rsidR="005B6A1E" w:rsidRPr="001F78E7">
        <w:rPr>
          <w:sz w:val="20"/>
          <w:szCs w:val="20"/>
        </w:rPr>
        <w:t xml:space="preserve">Ventajas y retos en la reutilización de datos sanitarios: el EEDS y la disposición adicional </w:t>
      </w:r>
      <w:r w:rsidR="009A2AD4" w:rsidRPr="001F78E7">
        <w:rPr>
          <w:sz w:val="20"/>
          <w:szCs w:val="20"/>
        </w:rPr>
        <w:t xml:space="preserve">17.ª </w:t>
      </w:r>
      <w:r w:rsidR="009A2AD4">
        <w:rPr>
          <w:sz w:val="20"/>
          <w:szCs w:val="20"/>
        </w:rPr>
        <w:t>de</w:t>
      </w:r>
      <w:r w:rsidR="00327949">
        <w:rPr>
          <w:sz w:val="20"/>
          <w:szCs w:val="20"/>
        </w:rPr>
        <w:t xml:space="preserve"> </w:t>
      </w:r>
      <w:r w:rsidR="005B6A1E" w:rsidRPr="001F78E7">
        <w:rPr>
          <w:sz w:val="20"/>
          <w:szCs w:val="20"/>
        </w:rPr>
        <w:t>L</w:t>
      </w:r>
      <w:r w:rsidR="00327949">
        <w:rPr>
          <w:sz w:val="20"/>
          <w:szCs w:val="20"/>
        </w:rPr>
        <w:t>ey Orgánica de Protección de Datos Personales y Garantía de Derechos Digitales</w:t>
      </w:r>
    </w:p>
    <w:p w14:paraId="0A3D5861" w14:textId="0695AB66" w:rsidR="008B161E" w:rsidRPr="001F78E7" w:rsidRDefault="00D0168D" w:rsidP="009A2AD4">
      <w:pPr>
        <w:spacing w:before="100" w:beforeAutospacing="1" w:after="100" w:afterAutospacing="1"/>
        <w:ind w:left="708"/>
        <w:jc w:val="both"/>
        <w:outlineLvl w:val="1"/>
        <w:rPr>
          <w:rFonts w:ascii="Times New Roman" w:eastAsia="Times New Roman" w:hAnsi="Times New Roman" w:cs="Times New Roman"/>
          <w:kern w:val="0"/>
          <w:lang w:eastAsia="es-ES_tradnl"/>
          <w14:ligatures w14:val="none"/>
        </w:rPr>
      </w:pPr>
      <w:r w:rsidRPr="001F78E7">
        <w:rPr>
          <w:rFonts w:ascii="Times New Roman" w:eastAsia="Times New Roman" w:hAnsi="Times New Roman" w:cs="Times New Roman"/>
          <w:kern w:val="0"/>
          <w:sz w:val="20"/>
          <w:szCs w:val="20"/>
          <w:lang w:eastAsia="es-ES_tradnl"/>
          <w14:ligatures w14:val="none"/>
        </w:rPr>
        <w:t>4</w:t>
      </w:r>
      <w:r w:rsidR="008B161E" w:rsidRPr="001F78E7">
        <w:rPr>
          <w:rFonts w:ascii="Times New Roman" w:eastAsia="Times New Roman" w:hAnsi="Times New Roman" w:cs="Times New Roman"/>
          <w:kern w:val="0"/>
          <w:sz w:val="20"/>
          <w:szCs w:val="20"/>
          <w:lang w:eastAsia="es-ES_tradnl"/>
          <w14:ligatures w14:val="none"/>
        </w:rPr>
        <w:t xml:space="preserve">.3. </w:t>
      </w:r>
      <w:r w:rsidR="005B6A1E" w:rsidRPr="001F78E7">
        <w:rPr>
          <w:rFonts w:ascii="Times New Roman" w:eastAsia="Times New Roman" w:hAnsi="Times New Roman" w:cs="Times New Roman"/>
          <w:kern w:val="0"/>
          <w:sz w:val="20"/>
          <w:szCs w:val="20"/>
          <w:lang w:eastAsia="es-ES_tradnl"/>
          <w14:ligatures w14:val="none"/>
        </w:rPr>
        <w:t>Reutilización secundaria de datos sanitarios, mejora de la investigación y protección efectiva de los datos personales de salud</w:t>
      </w:r>
    </w:p>
    <w:p w14:paraId="4EDCB104" w14:textId="71BFA4EE" w:rsidR="004975B6" w:rsidRPr="00CB0785" w:rsidRDefault="00CB13AB" w:rsidP="009A2AD4">
      <w:pPr>
        <w:spacing w:before="100" w:beforeAutospacing="1" w:after="100" w:afterAutospacing="1"/>
        <w:jc w:val="both"/>
        <w:rPr>
          <w:rFonts w:ascii="Times New Roman" w:eastAsia="Times New Roman" w:hAnsi="Times New Roman" w:cs="Times New Roman"/>
          <w:b/>
          <w:bCs/>
          <w:kern w:val="0"/>
          <w:sz w:val="20"/>
          <w:szCs w:val="20"/>
          <w:lang w:eastAsia="es-ES_tradnl"/>
          <w14:ligatures w14:val="none"/>
        </w:rPr>
      </w:pPr>
      <w:r w:rsidRPr="00C553DA">
        <w:rPr>
          <w:rFonts w:ascii="Times New Roman" w:hAnsi="Times New Roman" w:cs="Times New Roman"/>
          <w:b/>
          <w:bCs/>
          <w:sz w:val="20"/>
          <w:szCs w:val="20"/>
        </w:rPr>
        <w:t>V. Conclusiones</w:t>
      </w:r>
    </w:p>
    <w:p w14:paraId="58E0D952" w14:textId="77777777" w:rsidR="004975B6" w:rsidRDefault="004975B6" w:rsidP="00CB13AB">
      <w:pPr>
        <w:spacing w:before="100" w:beforeAutospacing="1" w:after="100" w:afterAutospacing="1"/>
        <w:jc w:val="both"/>
        <w:outlineLvl w:val="0"/>
        <w:rPr>
          <w:rFonts w:ascii="Times New Roman" w:eastAsia="Times New Roman" w:hAnsi="Times New Roman" w:cs="Times New Roman"/>
          <w:b/>
          <w:bCs/>
          <w:kern w:val="36"/>
          <w:sz w:val="28"/>
          <w:szCs w:val="28"/>
          <w:lang w:eastAsia="es-ES_tradnl"/>
          <w14:ligatures w14:val="none"/>
        </w:rPr>
      </w:pPr>
    </w:p>
    <w:p w14:paraId="674FBF08" w14:textId="6FD53F9B" w:rsidR="00FB6BAB" w:rsidRPr="00FB6BAB" w:rsidRDefault="00284594" w:rsidP="00FB6BAB">
      <w:pPr>
        <w:spacing w:before="100" w:beforeAutospacing="1" w:after="100" w:afterAutospacing="1"/>
        <w:outlineLvl w:val="0"/>
        <w:rPr>
          <w:rFonts w:ascii="Times New Roman" w:eastAsia="Times New Roman" w:hAnsi="Times New Roman" w:cs="Times New Roman"/>
          <w:b/>
          <w:bCs/>
          <w:kern w:val="36"/>
          <w:sz w:val="28"/>
          <w:szCs w:val="28"/>
          <w:lang w:eastAsia="es-ES_tradnl"/>
          <w14:ligatures w14:val="none"/>
        </w:rPr>
      </w:pPr>
      <w:r>
        <w:rPr>
          <w:rFonts w:ascii="Times New Roman" w:eastAsia="Times New Roman" w:hAnsi="Times New Roman" w:cs="Times New Roman"/>
          <w:b/>
          <w:bCs/>
          <w:kern w:val="36"/>
          <w:sz w:val="28"/>
          <w:szCs w:val="28"/>
          <w:lang w:eastAsia="es-ES_tradnl"/>
          <w14:ligatures w14:val="none"/>
        </w:rPr>
        <w:t>1.</w:t>
      </w:r>
      <w:r w:rsidR="00FB6BAB">
        <w:rPr>
          <w:rFonts w:ascii="Times New Roman" w:eastAsia="Times New Roman" w:hAnsi="Times New Roman" w:cs="Times New Roman"/>
          <w:b/>
          <w:bCs/>
          <w:kern w:val="36"/>
          <w:sz w:val="28"/>
          <w:szCs w:val="28"/>
          <w:lang w:eastAsia="es-ES_tradnl"/>
          <w14:ligatures w14:val="none"/>
        </w:rPr>
        <w:t xml:space="preserve"> </w:t>
      </w:r>
      <w:r w:rsidR="00FB6BAB" w:rsidRPr="00FB6BAB">
        <w:rPr>
          <w:rFonts w:ascii="Times New Roman" w:eastAsia="Times New Roman" w:hAnsi="Times New Roman" w:cs="Times New Roman"/>
          <w:b/>
          <w:bCs/>
          <w:kern w:val="36"/>
          <w:sz w:val="28"/>
          <w:szCs w:val="28"/>
          <w:lang w:eastAsia="es-ES_tradnl"/>
          <w14:ligatures w14:val="none"/>
        </w:rPr>
        <w:t>Introducción</w:t>
      </w:r>
    </w:p>
    <w:p w14:paraId="1E61F9E1" w14:textId="77777777" w:rsidR="0038344E" w:rsidRPr="0038344E" w:rsidRDefault="0038344E" w:rsidP="0038344E">
      <w:pPr>
        <w:spacing w:before="100" w:beforeAutospacing="1" w:after="100" w:afterAutospacing="1"/>
        <w:jc w:val="both"/>
        <w:rPr>
          <w:rFonts w:ascii="Times New Roman" w:eastAsia="Times New Roman" w:hAnsi="Times New Roman" w:cs="Times New Roman"/>
          <w:kern w:val="0"/>
          <w:lang w:eastAsia="es-ES_tradnl"/>
          <w14:ligatures w14:val="none"/>
        </w:rPr>
      </w:pPr>
      <w:r w:rsidRPr="0038344E">
        <w:rPr>
          <w:rFonts w:ascii="Times New Roman" w:eastAsia="Times New Roman" w:hAnsi="Times New Roman" w:cs="Times New Roman"/>
          <w:kern w:val="0"/>
          <w:lang w:eastAsia="es-ES_tradnl"/>
          <w14:ligatures w14:val="none"/>
        </w:rPr>
        <w:t>La protección de los datos personales relativos a la salud constituye uno de los ámbitos más sensibles y complejos del Derecho de la protección de datos. La información sanitaria incide de manera directa en la esfera más íntima de la persona y se encuentra estrechamente vinculada a la dignidad humana, a la intimidad personal y al principio de no discriminación. A diferencia de otros datos personales, los datos de salud no solo describen aspectos objetivos de la vida del individuo, sino que pueden revelar situaciones de especial vulnerabilidad, condicionando su autonomía personal y su posición social.</w:t>
      </w:r>
    </w:p>
    <w:p w14:paraId="2FBBE2B0" w14:textId="77777777" w:rsidR="0038344E" w:rsidRPr="0038344E" w:rsidRDefault="0038344E" w:rsidP="0038344E">
      <w:pPr>
        <w:spacing w:before="100" w:beforeAutospacing="1" w:after="100" w:afterAutospacing="1"/>
        <w:jc w:val="both"/>
        <w:rPr>
          <w:rFonts w:ascii="Times New Roman" w:eastAsia="Times New Roman" w:hAnsi="Times New Roman" w:cs="Times New Roman"/>
          <w:kern w:val="0"/>
          <w:lang w:eastAsia="es-ES_tradnl"/>
          <w14:ligatures w14:val="none"/>
        </w:rPr>
      </w:pPr>
      <w:r w:rsidRPr="0038344E">
        <w:rPr>
          <w:rFonts w:ascii="Times New Roman" w:eastAsia="Times New Roman" w:hAnsi="Times New Roman" w:cs="Times New Roman"/>
          <w:kern w:val="0"/>
          <w:lang w:eastAsia="es-ES_tradnl"/>
          <w14:ligatures w14:val="none"/>
        </w:rPr>
        <w:t>En las últimas décadas, el desarrollo de los sistemas sanitarios contemporáneos ha venido acompañado de un proceso creciente de digitalización de la asistencia, de los historiales clínicos y de los procedimientos de diagnóstico y tratamiento. Este proceso se ha visto intensificado por la utilización de tecnologías avanzadas de análisis de datos, por la interconexión de bases de datos sanitarias y por la incorporación de herramientas de inteligencia artificial en el ámbito de la salud. Como consecuencia, los datos sanitarios se han convertido en un recurso esencial no solo para la atención individual de los pacientes, sino también para la planificación de políticas públicas, la evaluación de sistemas sanitarios y el impulso de la investigación biomédica.</w:t>
      </w:r>
    </w:p>
    <w:p w14:paraId="55F44B62" w14:textId="77777777" w:rsidR="0038344E" w:rsidRPr="0038344E" w:rsidRDefault="0038344E" w:rsidP="0038344E">
      <w:pPr>
        <w:spacing w:before="100" w:beforeAutospacing="1" w:after="100" w:afterAutospacing="1"/>
        <w:jc w:val="both"/>
        <w:rPr>
          <w:rFonts w:ascii="Times New Roman" w:eastAsia="Times New Roman" w:hAnsi="Times New Roman" w:cs="Times New Roman"/>
          <w:kern w:val="0"/>
          <w:lang w:eastAsia="es-ES_tradnl"/>
          <w14:ligatures w14:val="none"/>
        </w:rPr>
      </w:pPr>
      <w:r w:rsidRPr="0038344E">
        <w:rPr>
          <w:rFonts w:ascii="Times New Roman" w:eastAsia="Times New Roman" w:hAnsi="Times New Roman" w:cs="Times New Roman"/>
          <w:kern w:val="0"/>
          <w:lang w:eastAsia="es-ES_tradnl"/>
          <w14:ligatures w14:val="none"/>
        </w:rPr>
        <w:lastRenderedPageBreak/>
        <w:t>La pandemia provocada por la COVID-19 ha puesto de manifiesto de forma especialmente visible el valor estratégico de los datos de salud. La necesidad de disponer de información fiable y comparable para la toma de decisiones sanitarias, la investigación epidemiológica o el desarrollo de tratamientos y vacunas ha evidenciado tanto las oportunidades asociadas al uso intensivo de datos como los riesgos que dicho uso puede generar para los derechos fundamentales. Este contexto ha reforzado el debate jurídico sobre cómo articular un uso legítimo y socialmente aceptable de los datos sanitarios sin debilitar las garantías propias del derecho fundamental a la protección de datos personales.</w:t>
      </w:r>
    </w:p>
    <w:p w14:paraId="17FCD974" w14:textId="77777777" w:rsidR="0038344E" w:rsidRPr="0038344E" w:rsidRDefault="0038344E" w:rsidP="0038344E">
      <w:pPr>
        <w:spacing w:before="100" w:beforeAutospacing="1" w:after="100" w:afterAutospacing="1"/>
        <w:jc w:val="both"/>
        <w:rPr>
          <w:rFonts w:ascii="Times New Roman" w:eastAsia="Times New Roman" w:hAnsi="Times New Roman" w:cs="Times New Roman"/>
          <w:kern w:val="0"/>
          <w:lang w:eastAsia="es-ES_tradnl"/>
          <w14:ligatures w14:val="none"/>
        </w:rPr>
      </w:pPr>
      <w:r w:rsidRPr="0038344E">
        <w:rPr>
          <w:rFonts w:ascii="Times New Roman" w:eastAsia="Times New Roman" w:hAnsi="Times New Roman" w:cs="Times New Roman"/>
          <w:kern w:val="0"/>
          <w:lang w:eastAsia="es-ES_tradnl"/>
          <w14:ligatures w14:val="none"/>
        </w:rPr>
        <w:t>En este escenario, el Reglamento (UE) 2016/679 (RGPD) configura los datos relativos a la salud como una categoría especial de datos personales, sometida a un régimen jurídico particularmente exigente. La opción del legislador europeo por una definición amplia y funcional del concepto de datos de salud, así como por un sistema basado en una prohibición general de tratamiento y en excepciones tasadas, responde a una lógica preventiva orientada a reforzar la tutela de los derechos de los interesados. Sin embargo, la aplicación práctica de este régimen plantea dificultades interpretativas relevantes, especialmente cuando el tratamiento de los datos se vincula a finalidades de investigación científica, a la reutilización secundaria de la información sanitaria o a tratamientos a gran escala.</w:t>
      </w:r>
    </w:p>
    <w:p w14:paraId="5A2EEB5D" w14:textId="72251F35" w:rsidR="0038344E" w:rsidRPr="0038344E" w:rsidRDefault="0038344E" w:rsidP="0038344E">
      <w:pPr>
        <w:spacing w:before="100" w:beforeAutospacing="1" w:after="100" w:afterAutospacing="1"/>
        <w:jc w:val="both"/>
        <w:rPr>
          <w:rFonts w:ascii="Times New Roman" w:eastAsia="Times New Roman" w:hAnsi="Times New Roman" w:cs="Times New Roman"/>
          <w:kern w:val="0"/>
          <w:lang w:eastAsia="es-ES_tradnl"/>
          <w14:ligatures w14:val="none"/>
        </w:rPr>
      </w:pPr>
      <w:r w:rsidRPr="0038344E">
        <w:rPr>
          <w:rFonts w:ascii="Times New Roman" w:eastAsia="Times New Roman" w:hAnsi="Times New Roman" w:cs="Times New Roman"/>
          <w:kern w:val="0"/>
          <w:lang w:eastAsia="es-ES_tradnl"/>
          <w14:ligatures w14:val="none"/>
        </w:rPr>
        <w:t>A estas dificultades se suma la dimensión transfronteriza del tratamiento de los datos de salud en el espacio europeo. La fragmentación normativa y organizativa entre los Estados miembros ha constituido tradicionalmente uno de los principales obstáculos para el intercambio y la reutilización de información sanitaria con fines legítimos. En respuesta a esta situación, la Unión Europea ha impulsado la creación del Espacio Europeo de Datos Sanitarios,</w:t>
      </w:r>
      <w:r w:rsidR="003B3D5C">
        <w:rPr>
          <w:rFonts w:ascii="Times New Roman" w:eastAsia="Times New Roman" w:hAnsi="Times New Roman" w:cs="Times New Roman"/>
          <w:kern w:val="0"/>
          <w:lang w:eastAsia="es-ES_tradnl"/>
          <w14:ligatures w14:val="none"/>
        </w:rPr>
        <w:t xml:space="preserve"> (en adelante </w:t>
      </w:r>
      <w:r w:rsidR="003B3D5C">
        <w:t>EEDS),</w:t>
      </w:r>
      <w:r w:rsidRPr="0038344E">
        <w:rPr>
          <w:rFonts w:ascii="Times New Roman" w:eastAsia="Times New Roman" w:hAnsi="Times New Roman" w:cs="Times New Roman"/>
          <w:kern w:val="0"/>
          <w:lang w:eastAsia="es-ES_tradnl"/>
          <w14:ligatures w14:val="none"/>
        </w:rPr>
        <w:t xml:space="preserve"> concebido como un marco específico destinado a facilitar tanto el uso primario de los datos en la asistencia sanitaria como su utilización con fines secundarios, en particular para la investigación científica, la innovación y la formulación de políticas públicas de salud.</w:t>
      </w:r>
    </w:p>
    <w:p w14:paraId="55083FC7" w14:textId="77777777" w:rsidR="0038344E" w:rsidRPr="0038344E" w:rsidRDefault="0038344E" w:rsidP="0038344E">
      <w:pPr>
        <w:spacing w:before="100" w:beforeAutospacing="1" w:after="100" w:afterAutospacing="1"/>
        <w:jc w:val="both"/>
        <w:rPr>
          <w:rFonts w:ascii="Times New Roman" w:eastAsia="Times New Roman" w:hAnsi="Times New Roman" w:cs="Times New Roman"/>
          <w:kern w:val="0"/>
          <w:lang w:eastAsia="es-ES_tradnl"/>
          <w14:ligatures w14:val="none"/>
        </w:rPr>
      </w:pPr>
      <w:r w:rsidRPr="0038344E">
        <w:rPr>
          <w:rFonts w:ascii="Times New Roman" w:eastAsia="Times New Roman" w:hAnsi="Times New Roman" w:cs="Times New Roman"/>
          <w:kern w:val="0"/>
          <w:lang w:eastAsia="es-ES_tradnl"/>
          <w14:ligatures w14:val="none"/>
        </w:rPr>
        <w:t xml:space="preserve">Desde la perspectiva del derecho interno, algunos ordenamientos nacionales —como los de España, Alemania o Francia— han comenzado a desarrollar soluciones normativas específicas orientadas a articular el delicado equilibrio entre la protección de los datos personales de salud y las necesidades de la investigación biomédica. En el caso alemán, este equilibrio se ha construido tradicionalmente a partir de bases jurídicas de interés público y de un fuerte énfasis en la proporcionalidad y en las garantías institucionales aplicables a la investigación sanitaria. Por su parte, el modelo francés ha apostado por la creación de estructuras específicas para la reutilización de datos de salud, como el </w:t>
      </w:r>
      <w:proofErr w:type="spellStart"/>
      <w:r w:rsidRPr="0038344E">
        <w:rPr>
          <w:rFonts w:ascii="Times New Roman" w:eastAsia="Times New Roman" w:hAnsi="Times New Roman" w:cs="Times New Roman"/>
          <w:i/>
          <w:iCs/>
          <w:kern w:val="0"/>
          <w:lang w:eastAsia="es-ES_tradnl"/>
          <w14:ligatures w14:val="none"/>
        </w:rPr>
        <w:t>Health</w:t>
      </w:r>
      <w:proofErr w:type="spellEnd"/>
      <w:r w:rsidRPr="0038344E">
        <w:rPr>
          <w:rFonts w:ascii="Times New Roman" w:eastAsia="Times New Roman" w:hAnsi="Times New Roman" w:cs="Times New Roman"/>
          <w:i/>
          <w:iCs/>
          <w:kern w:val="0"/>
          <w:lang w:eastAsia="es-ES_tradnl"/>
          <w14:ligatures w14:val="none"/>
        </w:rPr>
        <w:t xml:space="preserve"> Data </w:t>
      </w:r>
      <w:proofErr w:type="gramStart"/>
      <w:r w:rsidRPr="0038344E">
        <w:rPr>
          <w:rFonts w:ascii="Times New Roman" w:eastAsia="Times New Roman" w:hAnsi="Times New Roman" w:cs="Times New Roman"/>
          <w:i/>
          <w:iCs/>
          <w:kern w:val="0"/>
          <w:lang w:eastAsia="es-ES_tradnl"/>
          <w14:ligatures w14:val="none"/>
        </w:rPr>
        <w:t>Hub</w:t>
      </w:r>
      <w:proofErr w:type="gramEnd"/>
      <w:r w:rsidRPr="0038344E">
        <w:rPr>
          <w:rFonts w:ascii="Times New Roman" w:eastAsia="Times New Roman" w:hAnsi="Times New Roman" w:cs="Times New Roman"/>
          <w:kern w:val="0"/>
          <w:lang w:eastAsia="es-ES_tradnl"/>
          <w14:ligatures w14:val="none"/>
        </w:rPr>
        <w:t>, combinadas con mecanismos de autorización y supervisión reforzada. En el caso español, la disposición adicional decimoséptima de la Ley Orgánica 3/2018 introduce un régimen específico para el tratamiento de datos de salud con fines de investigación, especialmente relevante por su apuesta por mecanismos de garantía distintos del consentimiento individual como eje exclusivo de legitimación.</w:t>
      </w:r>
    </w:p>
    <w:p w14:paraId="38838BD6" w14:textId="37FBDE4F" w:rsidR="0038344E" w:rsidRPr="0038344E" w:rsidRDefault="0038344E" w:rsidP="0038344E">
      <w:pPr>
        <w:spacing w:before="100" w:beforeAutospacing="1" w:after="100" w:afterAutospacing="1"/>
        <w:jc w:val="both"/>
        <w:rPr>
          <w:rFonts w:ascii="Times New Roman" w:eastAsia="Times New Roman" w:hAnsi="Times New Roman" w:cs="Times New Roman"/>
          <w:kern w:val="0"/>
          <w:lang w:eastAsia="es-ES_tradnl"/>
          <w14:ligatures w14:val="none"/>
        </w:rPr>
      </w:pPr>
      <w:r w:rsidRPr="0038344E">
        <w:rPr>
          <w:rFonts w:ascii="Times New Roman" w:eastAsia="Times New Roman" w:hAnsi="Times New Roman" w:cs="Times New Roman"/>
          <w:kern w:val="0"/>
          <w:lang w:eastAsia="es-ES_tradnl"/>
          <w14:ligatures w14:val="none"/>
        </w:rPr>
        <w:t xml:space="preserve">Partiendo de este contexto, el presente trabajo tiene por objeto analizar el régimen jurídico de los datos de salud en el RGPD, prestando especial atención a la delimitación del concepto de datos sanitarios, al sistema de prohibición general y excepciones aplicable a su tratamiento y a los principales criterios interpretativos desarrollados por la doctrina y la jurisprudencia. Asimismo, se examinan los retos que plantea la reutilización de estos </w:t>
      </w:r>
      <w:r w:rsidRPr="0038344E">
        <w:rPr>
          <w:rFonts w:ascii="Times New Roman" w:eastAsia="Times New Roman" w:hAnsi="Times New Roman" w:cs="Times New Roman"/>
          <w:kern w:val="0"/>
          <w:lang w:eastAsia="es-ES_tradnl"/>
          <w14:ligatures w14:val="none"/>
        </w:rPr>
        <w:lastRenderedPageBreak/>
        <w:t xml:space="preserve">datos en el marco del </w:t>
      </w:r>
      <w:r w:rsidR="003B3D5C">
        <w:t>EEDS</w:t>
      </w:r>
      <w:r w:rsidRPr="0038344E">
        <w:rPr>
          <w:rFonts w:ascii="Times New Roman" w:eastAsia="Times New Roman" w:hAnsi="Times New Roman" w:cs="Times New Roman"/>
          <w:kern w:val="0"/>
          <w:lang w:eastAsia="es-ES_tradnl"/>
          <w14:ligatures w14:val="none"/>
        </w:rPr>
        <w:t>, con especial referencia a la necesidad de articular mecanismos efectivos que permitan compatibilizar la mejora de la investigación científica con un nivel elevado de protección de los derechos fundamentales.</w:t>
      </w:r>
    </w:p>
    <w:p w14:paraId="2F8202F4" w14:textId="0E0D59A8" w:rsidR="00FB6BAB" w:rsidRPr="0038344E" w:rsidRDefault="0038344E" w:rsidP="0038344E">
      <w:pPr>
        <w:spacing w:before="100" w:beforeAutospacing="1" w:after="100" w:afterAutospacing="1"/>
        <w:jc w:val="both"/>
        <w:rPr>
          <w:rFonts w:ascii="Times New Roman" w:eastAsia="Times New Roman" w:hAnsi="Times New Roman" w:cs="Times New Roman"/>
          <w:kern w:val="0"/>
          <w:lang w:eastAsia="es-ES_tradnl"/>
          <w14:ligatures w14:val="none"/>
        </w:rPr>
      </w:pPr>
      <w:r w:rsidRPr="0038344E">
        <w:rPr>
          <w:rFonts w:ascii="Times New Roman" w:eastAsia="Times New Roman" w:hAnsi="Times New Roman" w:cs="Times New Roman"/>
          <w:kern w:val="0"/>
          <w:lang w:eastAsia="es-ES_tradnl"/>
          <w14:ligatures w14:val="none"/>
        </w:rPr>
        <w:t>El análisis se completa con una referencia al modelo español, con el fin de valorar en qué medida las soluciones nacionales pueden ofrecer claves útiles para la construcción de un equilibrio sostenible entre la protección de los datos de salud y el aprovechamiento legítimo de la información sanitaria. Desde esta perspectiva, el trabajo pretende contribuir al debate jurídico actual sobre el papel del Derecho de la protección de datos en un contexto marcado por la creciente reutilización de los datos de salud y por la necesidad de reforzar la confianza de los ciudadanos en las instituciones encargadas de su control.</w:t>
      </w:r>
    </w:p>
    <w:p w14:paraId="73A79E3F" w14:textId="6AC056F7" w:rsidR="00823484" w:rsidRPr="00823484" w:rsidRDefault="007141A9" w:rsidP="00284594">
      <w:pPr>
        <w:spacing w:before="100" w:beforeAutospacing="1" w:after="100" w:afterAutospacing="1"/>
        <w:jc w:val="both"/>
        <w:outlineLvl w:val="0"/>
        <w:rPr>
          <w:rFonts w:ascii="Times New Roman" w:eastAsia="Times New Roman" w:hAnsi="Times New Roman" w:cs="Times New Roman"/>
          <w:b/>
          <w:bCs/>
          <w:kern w:val="36"/>
          <w:sz w:val="28"/>
          <w:szCs w:val="28"/>
          <w:lang w:eastAsia="es-ES_tradnl"/>
          <w14:ligatures w14:val="none"/>
        </w:rPr>
      </w:pPr>
      <w:r>
        <w:rPr>
          <w:rFonts w:ascii="Times New Roman" w:eastAsia="Times New Roman" w:hAnsi="Times New Roman" w:cs="Times New Roman"/>
          <w:b/>
          <w:bCs/>
          <w:kern w:val="36"/>
          <w:sz w:val="28"/>
          <w:szCs w:val="28"/>
          <w:lang w:eastAsia="es-ES_tradnl"/>
          <w14:ligatures w14:val="none"/>
        </w:rPr>
        <w:t>2</w:t>
      </w:r>
      <w:r w:rsidR="00284594">
        <w:rPr>
          <w:rFonts w:ascii="Times New Roman" w:eastAsia="Times New Roman" w:hAnsi="Times New Roman" w:cs="Times New Roman"/>
          <w:b/>
          <w:bCs/>
          <w:kern w:val="36"/>
          <w:sz w:val="28"/>
          <w:szCs w:val="28"/>
          <w:lang w:eastAsia="es-ES_tradnl"/>
          <w14:ligatures w14:val="none"/>
        </w:rPr>
        <w:t>.</w:t>
      </w:r>
      <w:r w:rsidR="00823484" w:rsidRPr="00823484">
        <w:rPr>
          <w:rFonts w:ascii="Times New Roman" w:eastAsia="Times New Roman" w:hAnsi="Times New Roman" w:cs="Times New Roman"/>
          <w:b/>
          <w:bCs/>
          <w:kern w:val="36"/>
          <w:sz w:val="28"/>
          <w:szCs w:val="28"/>
          <w:lang w:eastAsia="es-ES_tradnl"/>
          <w14:ligatures w14:val="none"/>
        </w:rPr>
        <w:t xml:space="preserve"> El concepto de datos de salud en el RGPD</w:t>
      </w:r>
    </w:p>
    <w:p w14:paraId="006ED0CD" w14:textId="77777777" w:rsidR="00823484" w:rsidRPr="00823484" w:rsidRDefault="00823484" w:rsidP="00823484">
      <w:pPr>
        <w:spacing w:before="100" w:beforeAutospacing="1" w:after="100" w:afterAutospacing="1"/>
        <w:jc w:val="both"/>
        <w:rPr>
          <w:rFonts w:ascii="Times New Roman" w:eastAsia="Times New Roman" w:hAnsi="Times New Roman" w:cs="Times New Roman"/>
          <w:kern w:val="0"/>
          <w:lang w:eastAsia="es-ES_tradnl"/>
          <w14:ligatures w14:val="none"/>
        </w:rPr>
      </w:pPr>
      <w:r w:rsidRPr="00823484">
        <w:rPr>
          <w:rFonts w:ascii="Times New Roman" w:eastAsia="Times New Roman" w:hAnsi="Times New Roman" w:cs="Times New Roman"/>
          <w:kern w:val="0"/>
          <w:lang w:eastAsia="es-ES_tradnl"/>
          <w14:ligatures w14:val="none"/>
        </w:rPr>
        <w:t>El Reglamento (UE) 2016/679 establece un régimen de protección reforzada para los datos relativos a la salud, partiendo de una concepción amplia de esta categoría de datos. El artículo 4.15 RGPD define los datos de salud como aquellos datos personales relacionados con la salud física o mental de una persona, incluida la prestación de servicios de atención sanitaria, en la medida en que revelen información sobre su estado de salud¹. Esta definición se ve reforzada por el Considerando 35, que confirma la voluntad del legislador europeo de adoptar un enfoque material y funcional del dato, atendiendo a su capacidad informativa y no exclusivamente a su origen o naturaleza formal.</w:t>
      </w:r>
    </w:p>
    <w:p w14:paraId="4328226A" w14:textId="09AEA89B" w:rsidR="00823484" w:rsidRPr="00823484" w:rsidRDefault="00823484" w:rsidP="00FB6BAB">
      <w:pPr>
        <w:spacing w:before="100" w:beforeAutospacing="1" w:after="100" w:afterAutospacing="1"/>
        <w:jc w:val="both"/>
        <w:rPr>
          <w:rFonts w:ascii="Times New Roman" w:eastAsia="Times New Roman" w:hAnsi="Times New Roman" w:cs="Times New Roman"/>
          <w:kern w:val="0"/>
          <w:lang w:eastAsia="es-ES_tradnl"/>
          <w14:ligatures w14:val="none"/>
        </w:rPr>
      </w:pPr>
      <w:r w:rsidRPr="00823484">
        <w:rPr>
          <w:rFonts w:ascii="Times New Roman" w:eastAsia="Times New Roman" w:hAnsi="Times New Roman" w:cs="Times New Roman"/>
          <w:kern w:val="0"/>
          <w:lang w:eastAsia="es-ES_tradnl"/>
          <w14:ligatures w14:val="none"/>
        </w:rPr>
        <w:t>Esta opción normativa responde a la especial sensibilidad de la información sanitaria y a los riesgos que su tratamiento puede generar para los derechos y libertades de las personas. No obstante, la amplitud del concepto de datos de salud no constituye una cuestión meramente terminológica, sino que condiciona de forma decisiva la aplicación del régimen de prohibición general y excepciones previsto en el artículo 9 RGPD, proyectando efectos directos sobre la licitud de los tratamientos y sobre la seguridad jurídica de los responsables.</w:t>
      </w:r>
    </w:p>
    <w:p w14:paraId="75BD1DE9" w14:textId="1D94A666" w:rsidR="00823484" w:rsidRPr="00823484" w:rsidRDefault="007141A9" w:rsidP="00823484">
      <w:pPr>
        <w:spacing w:before="100" w:beforeAutospacing="1" w:after="100" w:afterAutospacing="1"/>
        <w:outlineLvl w:val="1"/>
        <w:rPr>
          <w:rFonts w:ascii="Times New Roman" w:eastAsia="Times New Roman" w:hAnsi="Times New Roman" w:cs="Times New Roman"/>
          <w:b/>
          <w:bCs/>
          <w:kern w:val="0"/>
          <w:lang w:eastAsia="es-ES_tradnl"/>
          <w14:ligatures w14:val="none"/>
        </w:rPr>
      </w:pPr>
      <w:r>
        <w:rPr>
          <w:rFonts w:ascii="Times New Roman" w:eastAsia="Times New Roman" w:hAnsi="Times New Roman" w:cs="Times New Roman"/>
          <w:b/>
          <w:bCs/>
          <w:kern w:val="0"/>
          <w:lang w:eastAsia="es-ES_tradnl"/>
          <w14:ligatures w14:val="none"/>
        </w:rPr>
        <w:t>2</w:t>
      </w:r>
      <w:r w:rsidR="00823484" w:rsidRPr="00823484">
        <w:rPr>
          <w:rFonts w:ascii="Times New Roman" w:eastAsia="Times New Roman" w:hAnsi="Times New Roman" w:cs="Times New Roman"/>
          <w:b/>
          <w:bCs/>
          <w:kern w:val="0"/>
          <w:lang w:eastAsia="es-ES_tradnl"/>
          <w14:ligatures w14:val="none"/>
        </w:rPr>
        <w:t>.1</w:t>
      </w:r>
      <w:r w:rsidR="00284594">
        <w:rPr>
          <w:rFonts w:ascii="Times New Roman" w:eastAsia="Times New Roman" w:hAnsi="Times New Roman" w:cs="Times New Roman"/>
          <w:b/>
          <w:bCs/>
          <w:kern w:val="0"/>
          <w:lang w:eastAsia="es-ES_tradnl"/>
          <w14:ligatures w14:val="none"/>
        </w:rPr>
        <w:t>.</w:t>
      </w:r>
      <w:r w:rsidR="00823484" w:rsidRPr="00823484">
        <w:rPr>
          <w:rFonts w:ascii="Times New Roman" w:eastAsia="Times New Roman" w:hAnsi="Times New Roman" w:cs="Times New Roman"/>
          <w:b/>
          <w:bCs/>
          <w:kern w:val="0"/>
          <w:lang w:eastAsia="es-ES_tradnl"/>
          <w14:ligatures w14:val="none"/>
        </w:rPr>
        <w:t xml:space="preserve"> Alcance y criterios interpretativos del concepto de datos de salud</w:t>
      </w:r>
    </w:p>
    <w:p w14:paraId="733178F0" w14:textId="4D4F840C" w:rsidR="00823484" w:rsidRPr="00823484" w:rsidRDefault="00823484" w:rsidP="004C6F57">
      <w:pPr>
        <w:spacing w:before="100" w:beforeAutospacing="1" w:after="100" w:afterAutospacing="1"/>
        <w:jc w:val="both"/>
        <w:rPr>
          <w:rFonts w:ascii="Times New Roman" w:eastAsia="Times New Roman" w:hAnsi="Times New Roman" w:cs="Times New Roman"/>
          <w:kern w:val="0"/>
          <w:lang w:eastAsia="es-ES_tradnl"/>
          <w14:ligatures w14:val="none"/>
        </w:rPr>
      </w:pPr>
      <w:r w:rsidRPr="00823484">
        <w:rPr>
          <w:rFonts w:ascii="Times New Roman" w:eastAsia="Times New Roman" w:hAnsi="Times New Roman" w:cs="Times New Roman"/>
          <w:kern w:val="0"/>
          <w:lang w:eastAsia="es-ES_tradnl"/>
          <w14:ligatures w14:val="none"/>
        </w:rPr>
        <w:t>La definición contenida en el artículo 4.15 RGPD pone de manifiesto que el legislador europeo no ha querido limitar la categoría de datos de salud a la información médica en sentido estricto</w:t>
      </w:r>
      <w:r>
        <w:rPr>
          <w:rStyle w:val="Refdenotaalpie"/>
          <w:rFonts w:ascii="Times New Roman" w:eastAsia="Times New Roman" w:hAnsi="Times New Roman" w:cs="Times New Roman"/>
          <w:kern w:val="0"/>
          <w:lang w:eastAsia="es-ES_tradnl"/>
          <w14:ligatures w14:val="none"/>
        </w:rPr>
        <w:footnoteReference w:id="1"/>
      </w:r>
      <w:r w:rsidRPr="00823484">
        <w:rPr>
          <w:rFonts w:ascii="Times New Roman" w:eastAsia="Times New Roman" w:hAnsi="Times New Roman" w:cs="Times New Roman"/>
          <w:kern w:val="0"/>
          <w:lang w:eastAsia="es-ES_tradnl"/>
          <w14:ligatures w14:val="none"/>
        </w:rPr>
        <w:t xml:space="preserve">. Por el contrario, el concepto incluye cualquier dato personal que, directa o indirectamente, permita inferir el estado de salud pasado, presente o futuro de una persona. Como ha señalado </w:t>
      </w:r>
      <w:r w:rsidRPr="007141A9">
        <w:rPr>
          <w:rFonts w:ascii="Times New Roman" w:eastAsia="Times New Roman" w:hAnsi="Times New Roman" w:cs="Times New Roman"/>
          <w:kern w:val="0"/>
          <w:lang w:eastAsia="es-ES_tradnl"/>
          <w14:ligatures w14:val="none"/>
        </w:rPr>
        <w:t>Rebollo Delgado</w:t>
      </w:r>
      <w:r w:rsidRPr="00823484">
        <w:rPr>
          <w:rFonts w:ascii="Times New Roman" w:eastAsia="Times New Roman" w:hAnsi="Times New Roman" w:cs="Times New Roman"/>
          <w:kern w:val="0"/>
          <w:lang w:eastAsia="es-ES_tradnl"/>
          <w14:ligatures w14:val="none"/>
        </w:rPr>
        <w:t>, lo determinante no es la naturaleza formal del dato ni su procedencia del ámbito sanitario, sino su aptitud real para revelar información especialmente sensible sobre el interesado</w:t>
      </w:r>
      <w:r>
        <w:rPr>
          <w:rStyle w:val="Refdenotaalpie"/>
          <w:rFonts w:ascii="Times New Roman" w:eastAsia="Times New Roman" w:hAnsi="Times New Roman" w:cs="Times New Roman"/>
          <w:kern w:val="0"/>
          <w:lang w:eastAsia="es-ES_tradnl"/>
          <w14:ligatures w14:val="none"/>
        </w:rPr>
        <w:footnoteReference w:id="2"/>
      </w:r>
      <w:r w:rsidRPr="00823484">
        <w:rPr>
          <w:rFonts w:ascii="Times New Roman" w:eastAsia="Times New Roman" w:hAnsi="Times New Roman" w:cs="Times New Roman"/>
          <w:kern w:val="0"/>
          <w:lang w:eastAsia="es-ES_tradnl"/>
          <w14:ligatures w14:val="none"/>
        </w:rPr>
        <w:t>.</w:t>
      </w:r>
    </w:p>
    <w:p w14:paraId="4BF994C9" w14:textId="44711389" w:rsidR="00823484" w:rsidRPr="00823484" w:rsidRDefault="00823484" w:rsidP="00CD7F6F">
      <w:pPr>
        <w:spacing w:before="100" w:beforeAutospacing="1" w:after="100" w:afterAutospacing="1"/>
        <w:jc w:val="both"/>
        <w:rPr>
          <w:rFonts w:ascii="Times New Roman" w:eastAsia="Times New Roman" w:hAnsi="Times New Roman" w:cs="Times New Roman"/>
          <w:kern w:val="0"/>
          <w:lang w:eastAsia="es-ES_tradnl"/>
          <w14:ligatures w14:val="none"/>
        </w:rPr>
      </w:pPr>
      <w:r w:rsidRPr="00823484">
        <w:rPr>
          <w:rFonts w:ascii="Times New Roman" w:eastAsia="Times New Roman" w:hAnsi="Times New Roman" w:cs="Times New Roman"/>
          <w:kern w:val="0"/>
          <w:lang w:eastAsia="es-ES_tradnl"/>
          <w14:ligatures w14:val="none"/>
        </w:rPr>
        <w:t xml:space="preserve">Desde esta perspectiva, adquiere especial relevancia el denominado </w:t>
      </w:r>
      <w:r w:rsidRPr="00823484">
        <w:rPr>
          <w:rFonts w:ascii="Times New Roman" w:eastAsia="Times New Roman" w:hAnsi="Times New Roman" w:cs="Times New Roman"/>
          <w:i/>
          <w:iCs/>
          <w:kern w:val="0"/>
          <w:lang w:eastAsia="es-ES_tradnl"/>
          <w14:ligatures w14:val="none"/>
        </w:rPr>
        <w:t>riesgo informativo</w:t>
      </w:r>
      <w:r w:rsidRPr="00823484">
        <w:rPr>
          <w:rFonts w:ascii="Times New Roman" w:eastAsia="Times New Roman" w:hAnsi="Times New Roman" w:cs="Times New Roman"/>
          <w:kern w:val="0"/>
          <w:lang w:eastAsia="es-ES_tradnl"/>
          <w14:ligatures w14:val="none"/>
        </w:rPr>
        <w:t xml:space="preserve"> asociado al tratamiento de los datos. </w:t>
      </w:r>
      <w:r w:rsidRPr="007141A9">
        <w:rPr>
          <w:rFonts w:ascii="Times New Roman" w:eastAsia="Times New Roman" w:hAnsi="Times New Roman" w:cs="Times New Roman"/>
          <w:kern w:val="0"/>
          <w:lang w:eastAsia="es-ES_tradnl"/>
          <w14:ligatures w14:val="none"/>
        </w:rPr>
        <w:t xml:space="preserve">Troncoso </w:t>
      </w:r>
      <w:proofErr w:type="spellStart"/>
      <w:r w:rsidRPr="007141A9">
        <w:rPr>
          <w:rFonts w:ascii="Times New Roman" w:eastAsia="Times New Roman" w:hAnsi="Times New Roman" w:cs="Times New Roman"/>
          <w:kern w:val="0"/>
          <w:lang w:eastAsia="es-ES_tradnl"/>
          <w14:ligatures w14:val="none"/>
        </w:rPr>
        <w:t>Reigada</w:t>
      </w:r>
      <w:proofErr w:type="spellEnd"/>
      <w:r w:rsidRPr="00823484">
        <w:rPr>
          <w:rFonts w:ascii="Times New Roman" w:eastAsia="Times New Roman" w:hAnsi="Times New Roman" w:cs="Times New Roman"/>
          <w:kern w:val="0"/>
          <w:lang w:eastAsia="es-ES_tradnl"/>
          <w14:ligatures w14:val="none"/>
        </w:rPr>
        <w:t xml:space="preserve"> ha subrayado que datos aparentemente neutros pueden adquirir la condición de datos de salud cuando se analizan </w:t>
      </w:r>
      <w:r w:rsidRPr="00823484">
        <w:rPr>
          <w:rFonts w:ascii="Times New Roman" w:eastAsia="Times New Roman" w:hAnsi="Times New Roman" w:cs="Times New Roman"/>
          <w:kern w:val="0"/>
          <w:lang w:eastAsia="es-ES_tradnl"/>
          <w14:ligatures w14:val="none"/>
        </w:rPr>
        <w:lastRenderedPageBreak/>
        <w:t>en su contexto, se combinan con otros datos o se utilizan con determinadas finalidades, especialmente en entornos digitalizados caracterizados por el tratamiento masivo de información</w:t>
      </w:r>
      <w:r>
        <w:rPr>
          <w:rStyle w:val="Refdenotaalpie"/>
          <w:rFonts w:ascii="Times New Roman" w:eastAsia="Times New Roman" w:hAnsi="Times New Roman" w:cs="Times New Roman"/>
          <w:kern w:val="0"/>
          <w:lang w:eastAsia="es-ES_tradnl"/>
          <w14:ligatures w14:val="none"/>
        </w:rPr>
        <w:footnoteReference w:id="3"/>
      </w:r>
      <w:r w:rsidRPr="00823484">
        <w:rPr>
          <w:rFonts w:ascii="Times New Roman" w:eastAsia="Times New Roman" w:hAnsi="Times New Roman" w:cs="Times New Roman"/>
          <w:kern w:val="0"/>
          <w:lang w:eastAsia="es-ES_tradnl"/>
          <w14:ligatures w14:val="none"/>
        </w:rPr>
        <w:t>. Este enfoque resulta coherente con el carácter preventivo del RGPD, pero introduce, al mismo tiempo, un elevado grado de indeterminación en la delimitación de la categoría.</w:t>
      </w:r>
    </w:p>
    <w:p w14:paraId="40CDB7C4" w14:textId="4197F303" w:rsidR="00823484" w:rsidRPr="00823484" w:rsidRDefault="00823484" w:rsidP="00CD7F6F">
      <w:pPr>
        <w:spacing w:before="100" w:beforeAutospacing="1" w:after="100" w:afterAutospacing="1"/>
        <w:jc w:val="both"/>
        <w:rPr>
          <w:rFonts w:ascii="Times New Roman" w:eastAsia="Times New Roman" w:hAnsi="Times New Roman" w:cs="Times New Roman"/>
          <w:kern w:val="0"/>
          <w:lang w:eastAsia="es-ES_tradnl"/>
          <w14:ligatures w14:val="none"/>
        </w:rPr>
      </w:pPr>
      <w:r w:rsidRPr="00823484">
        <w:rPr>
          <w:rFonts w:ascii="Times New Roman" w:eastAsia="Times New Roman" w:hAnsi="Times New Roman" w:cs="Times New Roman"/>
          <w:kern w:val="0"/>
          <w:lang w:eastAsia="es-ES_tradnl"/>
          <w14:ligatures w14:val="none"/>
        </w:rPr>
        <w:t xml:space="preserve">La jurisprudencia del Tribunal de Justicia de la Unión Europea ha contribuido a consolidar esta interpretación amplia y contextual. Aunque la sentencia </w:t>
      </w:r>
      <w:proofErr w:type="spellStart"/>
      <w:r w:rsidRPr="00823484">
        <w:rPr>
          <w:rFonts w:ascii="Times New Roman" w:eastAsia="Times New Roman" w:hAnsi="Times New Roman" w:cs="Times New Roman"/>
          <w:i/>
          <w:iCs/>
          <w:kern w:val="0"/>
          <w:lang w:eastAsia="es-ES_tradnl"/>
          <w14:ligatures w14:val="none"/>
        </w:rPr>
        <w:t>Nowak</w:t>
      </w:r>
      <w:proofErr w:type="spellEnd"/>
      <w:r w:rsidRPr="00823484">
        <w:rPr>
          <w:rFonts w:ascii="Times New Roman" w:eastAsia="Times New Roman" w:hAnsi="Times New Roman" w:cs="Times New Roman"/>
          <w:kern w:val="0"/>
          <w:lang w:eastAsia="es-ES_tradnl"/>
          <w14:ligatures w14:val="none"/>
        </w:rPr>
        <w:t xml:space="preserve"> (C-434/16) no se refiere específicamente a datos de salud, resulta relevante en la medida en que afirma una concepción extensiva del concepto de dato personal, basada en su capacidad informativa y en la necesidad de garantizar una protección efectiva de los derechos fundamentales</w:t>
      </w:r>
      <w:r>
        <w:rPr>
          <w:rStyle w:val="Refdenotaalpie"/>
          <w:rFonts w:ascii="Times New Roman" w:eastAsia="Times New Roman" w:hAnsi="Times New Roman" w:cs="Times New Roman"/>
          <w:kern w:val="0"/>
          <w:lang w:eastAsia="es-ES_tradnl"/>
          <w14:ligatures w14:val="none"/>
        </w:rPr>
        <w:footnoteReference w:id="4"/>
      </w:r>
      <w:r w:rsidRPr="00823484">
        <w:rPr>
          <w:rFonts w:ascii="Times New Roman" w:eastAsia="Times New Roman" w:hAnsi="Times New Roman" w:cs="Times New Roman"/>
          <w:kern w:val="0"/>
          <w:lang w:eastAsia="es-ES_tradnl"/>
          <w14:ligatures w14:val="none"/>
        </w:rPr>
        <w:t>. Esta aproximación se proyecta de manera directa sobre la interpretación de las categorías especiales de datos cuando el tratamiento permite inferir información particularmente sensible.</w:t>
      </w:r>
    </w:p>
    <w:p w14:paraId="053C210C" w14:textId="4F03BC7D" w:rsidR="00823484" w:rsidRPr="00823484" w:rsidRDefault="00823484" w:rsidP="003A052F">
      <w:pPr>
        <w:spacing w:before="100" w:beforeAutospacing="1" w:after="100" w:afterAutospacing="1"/>
        <w:jc w:val="both"/>
        <w:rPr>
          <w:rFonts w:ascii="Times New Roman" w:eastAsia="Times New Roman" w:hAnsi="Times New Roman" w:cs="Times New Roman"/>
          <w:kern w:val="0"/>
          <w:lang w:eastAsia="es-ES_tradnl"/>
          <w14:ligatures w14:val="none"/>
        </w:rPr>
      </w:pPr>
      <w:r w:rsidRPr="00823484">
        <w:rPr>
          <w:rFonts w:ascii="Times New Roman" w:eastAsia="Times New Roman" w:hAnsi="Times New Roman" w:cs="Times New Roman"/>
          <w:kern w:val="0"/>
          <w:lang w:eastAsia="es-ES_tradnl"/>
          <w14:ligatures w14:val="none"/>
        </w:rPr>
        <w:t xml:space="preserve">En esta misma línea, la sentencia de 1 de agosto de 2022, </w:t>
      </w:r>
      <w:r w:rsidRPr="00823484">
        <w:rPr>
          <w:rFonts w:ascii="Times New Roman" w:eastAsia="Times New Roman" w:hAnsi="Times New Roman" w:cs="Times New Roman"/>
          <w:i/>
          <w:iCs/>
          <w:kern w:val="0"/>
          <w:lang w:eastAsia="es-ES_tradnl"/>
          <w14:ligatures w14:val="none"/>
        </w:rPr>
        <w:t xml:space="preserve">OT contra </w:t>
      </w:r>
      <w:proofErr w:type="spellStart"/>
      <w:r w:rsidRPr="00823484">
        <w:rPr>
          <w:rFonts w:ascii="Times New Roman" w:eastAsia="Times New Roman" w:hAnsi="Times New Roman" w:cs="Times New Roman"/>
          <w:i/>
          <w:iCs/>
          <w:kern w:val="0"/>
          <w:lang w:eastAsia="es-ES_tradnl"/>
          <w14:ligatures w14:val="none"/>
        </w:rPr>
        <w:t>Vyriausioji</w:t>
      </w:r>
      <w:proofErr w:type="spellEnd"/>
      <w:r w:rsidRPr="00823484">
        <w:rPr>
          <w:rFonts w:ascii="Times New Roman" w:eastAsia="Times New Roman" w:hAnsi="Times New Roman" w:cs="Times New Roman"/>
          <w:i/>
          <w:iCs/>
          <w:kern w:val="0"/>
          <w:lang w:eastAsia="es-ES_tradnl"/>
          <w14:ligatures w14:val="none"/>
        </w:rPr>
        <w:t xml:space="preserve"> </w:t>
      </w:r>
      <w:proofErr w:type="spellStart"/>
      <w:r w:rsidRPr="00823484">
        <w:rPr>
          <w:rFonts w:ascii="Times New Roman" w:eastAsia="Times New Roman" w:hAnsi="Times New Roman" w:cs="Times New Roman"/>
          <w:i/>
          <w:iCs/>
          <w:kern w:val="0"/>
          <w:lang w:eastAsia="es-ES_tradnl"/>
          <w14:ligatures w14:val="none"/>
        </w:rPr>
        <w:t>tarnybinės</w:t>
      </w:r>
      <w:proofErr w:type="spellEnd"/>
      <w:r w:rsidRPr="00823484">
        <w:rPr>
          <w:rFonts w:ascii="Times New Roman" w:eastAsia="Times New Roman" w:hAnsi="Times New Roman" w:cs="Times New Roman"/>
          <w:i/>
          <w:iCs/>
          <w:kern w:val="0"/>
          <w:lang w:eastAsia="es-ES_tradnl"/>
          <w14:ligatures w14:val="none"/>
        </w:rPr>
        <w:t xml:space="preserve"> </w:t>
      </w:r>
      <w:proofErr w:type="spellStart"/>
      <w:r w:rsidRPr="00823484">
        <w:rPr>
          <w:rFonts w:ascii="Times New Roman" w:eastAsia="Times New Roman" w:hAnsi="Times New Roman" w:cs="Times New Roman"/>
          <w:i/>
          <w:iCs/>
          <w:kern w:val="0"/>
          <w:lang w:eastAsia="es-ES_tradnl"/>
          <w14:ligatures w14:val="none"/>
        </w:rPr>
        <w:t>etikos</w:t>
      </w:r>
      <w:proofErr w:type="spellEnd"/>
      <w:r w:rsidRPr="00823484">
        <w:rPr>
          <w:rFonts w:ascii="Times New Roman" w:eastAsia="Times New Roman" w:hAnsi="Times New Roman" w:cs="Times New Roman"/>
          <w:i/>
          <w:iCs/>
          <w:kern w:val="0"/>
          <w:lang w:eastAsia="es-ES_tradnl"/>
          <w14:ligatures w14:val="none"/>
        </w:rPr>
        <w:t xml:space="preserve"> </w:t>
      </w:r>
      <w:proofErr w:type="spellStart"/>
      <w:r w:rsidRPr="00823484">
        <w:rPr>
          <w:rFonts w:ascii="Times New Roman" w:eastAsia="Times New Roman" w:hAnsi="Times New Roman" w:cs="Times New Roman"/>
          <w:i/>
          <w:iCs/>
          <w:kern w:val="0"/>
          <w:lang w:eastAsia="es-ES_tradnl"/>
          <w14:ligatures w14:val="none"/>
        </w:rPr>
        <w:t>komisija</w:t>
      </w:r>
      <w:proofErr w:type="spellEnd"/>
      <w:r w:rsidRPr="00823484">
        <w:rPr>
          <w:rFonts w:ascii="Times New Roman" w:eastAsia="Times New Roman" w:hAnsi="Times New Roman" w:cs="Times New Roman"/>
          <w:kern w:val="0"/>
          <w:lang w:eastAsia="es-ES_tradnl"/>
          <w14:ligatures w14:val="none"/>
        </w:rPr>
        <w:t xml:space="preserve"> (C-184/20), confirma que la calificación de un dato como dato de salud no depende exclusivamente de la presencia explícita de información médica, sino de su aptitud para revelar el estado sanitario del interesado atendiendo a su finalidad o a su combinación con otros datos</w:t>
      </w:r>
      <w:r>
        <w:rPr>
          <w:rStyle w:val="Refdenotaalpie"/>
          <w:rFonts w:ascii="Times New Roman" w:eastAsia="Times New Roman" w:hAnsi="Times New Roman" w:cs="Times New Roman"/>
          <w:kern w:val="0"/>
          <w:lang w:eastAsia="es-ES_tradnl"/>
          <w14:ligatures w14:val="none"/>
        </w:rPr>
        <w:footnoteReference w:id="5"/>
      </w:r>
      <w:r w:rsidRPr="00823484">
        <w:rPr>
          <w:rFonts w:ascii="Times New Roman" w:eastAsia="Times New Roman" w:hAnsi="Times New Roman" w:cs="Times New Roman"/>
          <w:kern w:val="0"/>
          <w:lang w:eastAsia="es-ES_tradnl"/>
          <w14:ligatures w14:val="none"/>
        </w:rPr>
        <w:t xml:space="preserve">. Como destacan </w:t>
      </w:r>
      <w:r w:rsidRPr="00A95920">
        <w:rPr>
          <w:rFonts w:ascii="Times New Roman" w:eastAsia="Times New Roman" w:hAnsi="Times New Roman" w:cs="Times New Roman"/>
          <w:kern w:val="0"/>
          <w:lang w:eastAsia="es-ES_tradnl"/>
          <w14:ligatures w14:val="none"/>
        </w:rPr>
        <w:t xml:space="preserve">De </w:t>
      </w:r>
      <w:proofErr w:type="spellStart"/>
      <w:r w:rsidRPr="00A95920">
        <w:rPr>
          <w:rFonts w:ascii="Times New Roman" w:eastAsia="Times New Roman" w:hAnsi="Times New Roman" w:cs="Times New Roman"/>
          <w:kern w:val="0"/>
          <w:lang w:eastAsia="es-ES_tradnl"/>
          <w14:ligatures w14:val="none"/>
        </w:rPr>
        <w:t>Hert</w:t>
      </w:r>
      <w:proofErr w:type="spellEnd"/>
      <w:r w:rsidRPr="00A95920">
        <w:rPr>
          <w:rFonts w:ascii="Times New Roman" w:eastAsia="Times New Roman" w:hAnsi="Times New Roman" w:cs="Times New Roman"/>
          <w:kern w:val="0"/>
          <w:lang w:eastAsia="es-ES_tradnl"/>
          <w14:ligatures w14:val="none"/>
        </w:rPr>
        <w:t xml:space="preserve"> y </w:t>
      </w:r>
      <w:proofErr w:type="spellStart"/>
      <w:r w:rsidRPr="00A95920">
        <w:rPr>
          <w:rFonts w:ascii="Times New Roman" w:eastAsia="Times New Roman" w:hAnsi="Times New Roman" w:cs="Times New Roman"/>
          <w:kern w:val="0"/>
          <w:lang w:eastAsia="es-ES_tradnl"/>
          <w14:ligatures w14:val="none"/>
        </w:rPr>
        <w:t>Papakonstantinou</w:t>
      </w:r>
      <w:proofErr w:type="spellEnd"/>
      <w:r w:rsidRPr="00823484">
        <w:rPr>
          <w:rFonts w:ascii="Times New Roman" w:eastAsia="Times New Roman" w:hAnsi="Times New Roman" w:cs="Times New Roman"/>
          <w:kern w:val="0"/>
          <w:lang w:eastAsia="es-ES_tradnl"/>
          <w14:ligatures w14:val="none"/>
        </w:rPr>
        <w:t>, esta jurisprudencia refuerza una interpretación dinámica del concepto de datos sensibles, acorde con los objetivos de protección del RGPD, aunque no exenta de dificultades desde la perspectiva de la previsibilidad normativa</w:t>
      </w:r>
      <w:r w:rsidR="004C6F57">
        <w:rPr>
          <w:rStyle w:val="Refdenotaalpie"/>
          <w:rFonts w:ascii="Times New Roman" w:eastAsia="Times New Roman" w:hAnsi="Times New Roman" w:cs="Times New Roman"/>
          <w:kern w:val="0"/>
          <w:lang w:eastAsia="es-ES_tradnl"/>
          <w14:ligatures w14:val="none"/>
        </w:rPr>
        <w:footnoteReference w:id="6"/>
      </w:r>
      <w:r w:rsidRPr="00823484">
        <w:rPr>
          <w:rFonts w:ascii="Times New Roman" w:eastAsia="Times New Roman" w:hAnsi="Times New Roman" w:cs="Times New Roman"/>
          <w:kern w:val="0"/>
          <w:lang w:eastAsia="es-ES_tradnl"/>
          <w14:ligatures w14:val="none"/>
        </w:rPr>
        <w:t>.</w:t>
      </w:r>
    </w:p>
    <w:p w14:paraId="6ECC7E1B" w14:textId="08A06E3C" w:rsidR="00823484" w:rsidRPr="00823484" w:rsidRDefault="007141A9" w:rsidP="00CD7F6F">
      <w:pPr>
        <w:spacing w:before="100" w:beforeAutospacing="1" w:after="100" w:afterAutospacing="1"/>
        <w:jc w:val="both"/>
        <w:outlineLvl w:val="1"/>
        <w:rPr>
          <w:rFonts w:ascii="Times New Roman" w:eastAsia="Times New Roman" w:hAnsi="Times New Roman" w:cs="Times New Roman"/>
          <w:b/>
          <w:bCs/>
          <w:kern w:val="0"/>
          <w:lang w:eastAsia="es-ES_tradnl"/>
          <w14:ligatures w14:val="none"/>
        </w:rPr>
      </w:pPr>
      <w:r>
        <w:rPr>
          <w:rFonts w:ascii="Times New Roman" w:eastAsia="Times New Roman" w:hAnsi="Times New Roman" w:cs="Times New Roman"/>
          <w:b/>
          <w:bCs/>
          <w:kern w:val="0"/>
          <w:lang w:eastAsia="es-ES_tradnl"/>
          <w14:ligatures w14:val="none"/>
        </w:rPr>
        <w:t>2</w:t>
      </w:r>
      <w:r w:rsidR="00823484" w:rsidRPr="00823484">
        <w:rPr>
          <w:rFonts w:ascii="Times New Roman" w:eastAsia="Times New Roman" w:hAnsi="Times New Roman" w:cs="Times New Roman"/>
          <w:b/>
          <w:bCs/>
          <w:kern w:val="0"/>
          <w:lang w:eastAsia="es-ES_tradnl"/>
          <w14:ligatures w14:val="none"/>
        </w:rPr>
        <w:t>.</w:t>
      </w:r>
      <w:r>
        <w:rPr>
          <w:rFonts w:ascii="Times New Roman" w:eastAsia="Times New Roman" w:hAnsi="Times New Roman" w:cs="Times New Roman"/>
          <w:b/>
          <w:bCs/>
          <w:kern w:val="0"/>
          <w:lang w:eastAsia="es-ES_tradnl"/>
          <w14:ligatures w14:val="none"/>
        </w:rPr>
        <w:t>2</w:t>
      </w:r>
      <w:r w:rsidR="00823484" w:rsidRPr="00823484">
        <w:rPr>
          <w:rFonts w:ascii="Times New Roman" w:eastAsia="Times New Roman" w:hAnsi="Times New Roman" w:cs="Times New Roman"/>
          <w:b/>
          <w:bCs/>
          <w:kern w:val="0"/>
          <w:lang w:eastAsia="es-ES_tradnl"/>
          <w14:ligatures w14:val="none"/>
        </w:rPr>
        <w:t xml:space="preserve"> Consecuencias jurídicas de una concepción amplia de los datos de salud</w:t>
      </w:r>
    </w:p>
    <w:p w14:paraId="360ECD37" w14:textId="77777777" w:rsidR="00823484" w:rsidRPr="00823484" w:rsidRDefault="00823484" w:rsidP="00CD7F6F">
      <w:pPr>
        <w:spacing w:before="100" w:beforeAutospacing="1" w:after="100" w:afterAutospacing="1"/>
        <w:jc w:val="both"/>
        <w:rPr>
          <w:rFonts w:ascii="Times New Roman" w:eastAsia="Times New Roman" w:hAnsi="Times New Roman" w:cs="Times New Roman"/>
          <w:kern w:val="0"/>
          <w:lang w:eastAsia="es-ES_tradnl"/>
          <w14:ligatures w14:val="none"/>
        </w:rPr>
      </w:pPr>
      <w:r w:rsidRPr="00823484">
        <w:rPr>
          <w:rFonts w:ascii="Times New Roman" w:eastAsia="Times New Roman" w:hAnsi="Times New Roman" w:cs="Times New Roman"/>
          <w:kern w:val="0"/>
          <w:lang w:eastAsia="es-ES_tradnl"/>
          <w14:ligatures w14:val="none"/>
        </w:rPr>
        <w:t>La adopción de un concepto amplio de datos de salud tiene consecuencias directas sobre el alcance del régimen de protección reforzada previsto en el RGPD. Al ampliarse el ámbito material de la categoría especial, aumenta el número de tratamientos sometidos a la prohibición general establecida en el artículo 9.1 RGPD, lo que obliga a los responsables del tratamiento a identificar con precisión la concurrencia de alguna de las excepciones previstas en el artículo 9.2 RGPD.</w:t>
      </w:r>
    </w:p>
    <w:p w14:paraId="70E3971C" w14:textId="77777777" w:rsidR="00823484" w:rsidRPr="00823484" w:rsidRDefault="00823484" w:rsidP="00CD7F6F">
      <w:pPr>
        <w:spacing w:before="100" w:beforeAutospacing="1" w:after="100" w:afterAutospacing="1"/>
        <w:jc w:val="both"/>
        <w:rPr>
          <w:rFonts w:ascii="Times New Roman" w:eastAsia="Times New Roman" w:hAnsi="Times New Roman" w:cs="Times New Roman"/>
          <w:kern w:val="0"/>
          <w:lang w:eastAsia="es-ES_tradnl"/>
          <w14:ligatures w14:val="none"/>
        </w:rPr>
      </w:pPr>
      <w:r w:rsidRPr="00823484">
        <w:rPr>
          <w:rFonts w:ascii="Times New Roman" w:eastAsia="Times New Roman" w:hAnsi="Times New Roman" w:cs="Times New Roman"/>
          <w:kern w:val="0"/>
          <w:lang w:eastAsia="es-ES_tradnl"/>
          <w14:ligatures w14:val="none"/>
        </w:rPr>
        <w:t xml:space="preserve">Esta situación intensifica la tensión entre la necesidad de garantizar una protección efectiva de los derechos fundamentales y las exigencias de seguridad jurídica y operatividad práctica de los tratamientos de datos, especialmente en contextos como el sanitario, caracterizados por la reutilización de la información, la interconexión de sistemas y el desarrollo de nuevas tecnologías. La amplitud conceptual del dato de salud refuerza la tutela del derecho fundamental, pero exige, al mismo tiempo, una </w:t>
      </w:r>
      <w:r w:rsidRPr="00823484">
        <w:rPr>
          <w:rFonts w:ascii="Times New Roman" w:eastAsia="Times New Roman" w:hAnsi="Times New Roman" w:cs="Times New Roman"/>
          <w:kern w:val="0"/>
          <w:lang w:eastAsia="es-ES_tradnl"/>
          <w14:ligatures w14:val="none"/>
        </w:rPr>
        <w:lastRenderedPageBreak/>
        <w:t>interpretación prudente y coherente del régimen de excepciones para evitar soluciones desproporcionadas o excesivamente restrictivas.</w:t>
      </w:r>
    </w:p>
    <w:p w14:paraId="66290F18" w14:textId="322A559F" w:rsidR="00823484" w:rsidRPr="00823484" w:rsidRDefault="00465979" w:rsidP="00CD7F6F">
      <w:pPr>
        <w:spacing w:before="100" w:beforeAutospacing="1" w:after="100" w:afterAutospacing="1"/>
        <w:jc w:val="both"/>
        <w:rPr>
          <w:rFonts w:ascii="Times New Roman" w:eastAsia="Times New Roman" w:hAnsi="Times New Roman" w:cs="Times New Roman"/>
          <w:kern w:val="0"/>
          <w:lang w:eastAsia="es-ES_tradnl"/>
          <w14:ligatures w14:val="none"/>
        </w:rPr>
      </w:pPr>
      <w:r>
        <w:rPr>
          <w:rFonts w:ascii="Times New Roman" w:eastAsia="Times New Roman" w:hAnsi="Times New Roman" w:cs="Times New Roman"/>
          <w:kern w:val="0"/>
          <w:lang w:eastAsia="es-ES_tradnl"/>
          <w14:ligatures w14:val="none"/>
        </w:rPr>
        <w:t>En suma</w:t>
      </w:r>
      <w:r w:rsidR="00823484" w:rsidRPr="00823484">
        <w:rPr>
          <w:rFonts w:ascii="Times New Roman" w:eastAsia="Times New Roman" w:hAnsi="Times New Roman" w:cs="Times New Roman"/>
          <w:kern w:val="0"/>
          <w:lang w:eastAsia="es-ES_tradnl"/>
          <w14:ligatures w14:val="none"/>
        </w:rPr>
        <w:t>, el concepto de datos de salud en el RGPD se configura como un elemento estructural del sistema europeo de protección de datos. Su carácter amplio y funcional contribuye a reforzar la protección de la persona, pero plantea desafíos relevantes en términos de seguridad jurídica y aplicación práctica, que deben ser abordados mediante una interpretación sistemática y contextual del Reglamento.</w:t>
      </w:r>
    </w:p>
    <w:p w14:paraId="3204194C" w14:textId="62F62381" w:rsidR="00556E5A" w:rsidRPr="00556E5A" w:rsidRDefault="00284594" w:rsidP="00556E5A">
      <w:pPr>
        <w:spacing w:before="100" w:beforeAutospacing="1" w:after="100" w:afterAutospacing="1"/>
        <w:jc w:val="both"/>
        <w:outlineLvl w:val="1"/>
        <w:rPr>
          <w:rFonts w:ascii="Times New Roman" w:eastAsia="Times New Roman" w:hAnsi="Times New Roman" w:cs="Times New Roman"/>
          <w:b/>
          <w:bCs/>
          <w:kern w:val="0"/>
          <w:sz w:val="28"/>
          <w:szCs w:val="28"/>
          <w:lang w:eastAsia="es-ES_tradnl"/>
          <w14:ligatures w14:val="none"/>
        </w:rPr>
      </w:pPr>
      <w:r>
        <w:rPr>
          <w:rFonts w:ascii="Times New Roman" w:eastAsia="Times New Roman" w:hAnsi="Times New Roman" w:cs="Times New Roman"/>
          <w:b/>
          <w:bCs/>
          <w:kern w:val="0"/>
          <w:sz w:val="28"/>
          <w:szCs w:val="28"/>
          <w:lang w:eastAsia="es-ES_tradnl"/>
          <w14:ligatures w14:val="none"/>
        </w:rPr>
        <w:t>3.</w:t>
      </w:r>
      <w:r w:rsidR="00556E5A" w:rsidRPr="00556E5A">
        <w:rPr>
          <w:rFonts w:ascii="Times New Roman" w:eastAsia="Times New Roman" w:hAnsi="Times New Roman" w:cs="Times New Roman"/>
          <w:b/>
          <w:bCs/>
          <w:kern w:val="0"/>
          <w:sz w:val="28"/>
          <w:szCs w:val="28"/>
          <w:lang w:eastAsia="es-ES_tradnl"/>
          <w14:ligatures w14:val="none"/>
        </w:rPr>
        <w:t xml:space="preserve"> El régimen jurídico del tratamiento de los datos de salud en el RGPD</w:t>
      </w:r>
    </w:p>
    <w:p w14:paraId="624B5272" w14:textId="579C3318" w:rsidR="00556E5A" w:rsidRPr="00556E5A" w:rsidRDefault="00556E5A" w:rsidP="00556E5A">
      <w:pPr>
        <w:spacing w:before="100" w:beforeAutospacing="1" w:after="100" w:afterAutospacing="1"/>
        <w:jc w:val="both"/>
        <w:rPr>
          <w:rFonts w:ascii="Times New Roman" w:eastAsia="Times New Roman" w:hAnsi="Times New Roman" w:cs="Times New Roman"/>
          <w:kern w:val="0"/>
          <w:lang w:eastAsia="es-ES_tradnl"/>
          <w14:ligatures w14:val="none"/>
        </w:rPr>
      </w:pPr>
      <w:r w:rsidRPr="00556E5A">
        <w:rPr>
          <w:rFonts w:ascii="Times New Roman" w:eastAsia="Times New Roman" w:hAnsi="Times New Roman" w:cs="Times New Roman"/>
          <w:kern w:val="0"/>
          <w:lang w:eastAsia="es-ES_tradnl"/>
          <w14:ligatures w14:val="none"/>
        </w:rPr>
        <w:t>La especial sensibilidad de los datos relativos a la salud explica que el Reglamento (UE) 2016/679 los sitúe entre las categorías especiales de datos personales sometidas a un régimen de protección reforzada. A diferencia de otros datos personales, el tratamiento de los datos de salud parte de una prohibición general, establecida en el artículo 9.1 RGPD, que únicamente puede levantarse cuando concurra alguna de las excepciones expresamente previstas en el propio Reglamento</w:t>
      </w:r>
      <w:r w:rsidR="00C8368F">
        <w:rPr>
          <w:rStyle w:val="Refdenotaalpie"/>
          <w:rFonts w:ascii="Times New Roman" w:eastAsia="Times New Roman" w:hAnsi="Times New Roman" w:cs="Times New Roman"/>
          <w:kern w:val="0"/>
          <w:lang w:eastAsia="es-ES_tradnl"/>
          <w14:ligatures w14:val="none"/>
        </w:rPr>
        <w:footnoteReference w:id="7"/>
      </w:r>
      <w:r w:rsidRPr="00556E5A">
        <w:rPr>
          <w:rFonts w:ascii="Times New Roman" w:eastAsia="Times New Roman" w:hAnsi="Times New Roman" w:cs="Times New Roman"/>
          <w:kern w:val="0"/>
          <w:lang w:eastAsia="es-ES_tradnl"/>
          <w14:ligatures w14:val="none"/>
        </w:rPr>
        <w:t>. Con ello, el legislador europeo trata de anticipar y prevenir riesgos especialmente intensos para los derechos y libertades de las personas, como la discriminación o la estigmatización derivadas del uso indebido de información sanitaria.</w:t>
      </w:r>
    </w:p>
    <w:p w14:paraId="61A4302A" w14:textId="0052A271" w:rsidR="00556E5A" w:rsidRPr="00556E5A" w:rsidRDefault="00556E5A" w:rsidP="00556E5A">
      <w:pPr>
        <w:spacing w:before="100" w:beforeAutospacing="1" w:after="100" w:afterAutospacing="1"/>
        <w:jc w:val="both"/>
        <w:rPr>
          <w:rFonts w:ascii="Times New Roman" w:eastAsia="Times New Roman" w:hAnsi="Times New Roman" w:cs="Times New Roman"/>
          <w:kern w:val="0"/>
          <w:lang w:eastAsia="es-ES_tradnl"/>
          <w14:ligatures w14:val="none"/>
        </w:rPr>
      </w:pPr>
      <w:r w:rsidRPr="00556E5A">
        <w:rPr>
          <w:rFonts w:ascii="Times New Roman" w:eastAsia="Times New Roman" w:hAnsi="Times New Roman" w:cs="Times New Roman"/>
          <w:kern w:val="0"/>
          <w:lang w:eastAsia="es-ES_tradnl"/>
          <w14:ligatures w14:val="none"/>
        </w:rPr>
        <w:t>Ahora bien, la amplitud del concepto de datos de salud, analizada en el apartado anterior, tiene como consecuencia que un número cada vez mayor de tratamientos quede sometido a este régimen reforzado. En la práctica, ello obliga a responsables y encargados del tratamiento a realizar un esfuerzo adicional de identificación y justificación de la base jurídica aplicable, así como a extremar el cumplimiento de las garantías previstas en el RGPD.</w:t>
      </w:r>
    </w:p>
    <w:p w14:paraId="72D8AFEB" w14:textId="0D0062A8" w:rsidR="00556E5A" w:rsidRPr="00556E5A" w:rsidRDefault="00284594" w:rsidP="00556E5A">
      <w:pPr>
        <w:spacing w:before="100" w:beforeAutospacing="1" w:after="100" w:afterAutospacing="1"/>
        <w:outlineLvl w:val="1"/>
        <w:rPr>
          <w:rFonts w:ascii="Times New Roman" w:eastAsia="Times New Roman" w:hAnsi="Times New Roman" w:cs="Times New Roman"/>
          <w:b/>
          <w:bCs/>
          <w:kern w:val="0"/>
          <w:lang w:eastAsia="es-ES_tradnl"/>
          <w14:ligatures w14:val="none"/>
        </w:rPr>
      </w:pPr>
      <w:r>
        <w:rPr>
          <w:rFonts w:ascii="Times New Roman" w:eastAsia="Times New Roman" w:hAnsi="Times New Roman" w:cs="Times New Roman"/>
          <w:b/>
          <w:bCs/>
          <w:kern w:val="0"/>
          <w:lang w:eastAsia="es-ES_tradnl"/>
          <w14:ligatures w14:val="none"/>
        </w:rPr>
        <w:t>3</w:t>
      </w:r>
      <w:r w:rsidR="00556E5A" w:rsidRPr="00556E5A">
        <w:rPr>
          <w:rFonts w:ascii="Times New Roman" w:eastAsia="Times New Roman" w:hAnsi="Times New Roman" w:cs="Times New Roman"/>
          <w:b/>
          <w:bCs/>
          <w:kern w:val="0"/>
          <w:lang w:eastAsia="es-ES_tradnl"/>
          <w14:ligatures w14:val="none"/>
        </w:rPr>
        <w:t>.1 La prohibición general del artículo 9.1 RGPD y su justificación</w:t>
      </w:r>
    </w:p>
    <w:p w14:paraId="7DE1C374" w14:textId="3B884635" w:rsidR="00556E5A" w:rsidRPr="00556E5A" w:rsidRDefault="00556E5A" w:rsidP="00556E5A">
      <w:pPr>
        <w:spacing w:before="100" w:beforeAutospacing="1" w:after="100" w:afterAutospacing="1"/>
        <w:jc w:val="both"/>
        <w:rPr>
          <w:rFonts w:ascii="Times New Roman" w:eastAsia="Times New Roman" w:hAnsi="Times New Roman" w:cs="Times New Roman"/>
          <w:kern w:val="0"/>
          <w:lang w:eastAsia="es-ES_tradnl"/>
          <w14:ligatures w14:val="none"/>
        </w:rPr>
      </w:pPr>
      <w:r w:rsidRPr="00556E5A">
        <w:rPr>
          <w:rFonts w:ascii="Times New Roman" w:eastAsia="Times New Roman" w:hAnsi="Times New Roman" w:cs="Times New Roman"/>
          <w:kern w:val="0"/>
          <w:lang w:eastAsia="es-ES_tradnl"/>
          <w14:ligatures w14:val="none"/>
        </w:rPr>
        <w:t>El artículo 9.1 RGPD establece la prohibición de tratar datos personales que revelen, entre otros extremos, datos relativos a la salud. Esta prohibición no responde a una desconfianza abstracta hacia el tratamiento de la información sanitaria, sino al reconocimiento de que este tipo de datos incide de manera particularmente intensa en la esfera personal del individuo. En este sentido, el Tribunal Constitucional español ha señalado que los datos de salud forman parte del núcleo más sensible del derecho fundamental a la protección de datos personales, por su estrecha conexión con la dignidad y la intimidad de la persona</w:t>
      </w:r>
      <w:r w:rsidR="00C8368F">
        <w:rPr>
          <w:rStyle w:val="Refdenotaalpie"/>
          <w:rFonts w:ascii="Times New Roman" w:eastAsia="Times New Roman" w:hAnsi="Times New Roman" w:cs="Times New Roman"/>
          <w:kern w:val="0"/>
          <w:lang w:eastAsia="es-ES_tradnl"/>
          <w14:ligatures w14:val="none"/>
        </w:rPr>
        <w:footnoteReference w:id="8"/>
      </w:r>
      <w:r w:rsidRPr="00556E5A">
        <w:rPr>
          <w:rFonts w:ascii="Times New Roman" w:eastAsia="Times New Roman" w:hAnsi="Times New Roman" w:cs="Times New Roman"/>
          <w:kern w:val="0"/>
          <w:lang w:eastAsia="es-ES_tradnl"/>
          <w14:ligatures w14:val="none"/>
        </w:rPr>
        <w:t>.</w:t>
      </w:r>
    </w:p>
    <w:p w14:paraId="5914275C" w14:textId="77777777" w:rsidR="00556E5A" w:rsidRPr="00556E5A" w:rsidRDefault="00556E5A" w:rsidP="00556E5A">
      <w:pPr>
        <w:spacing w:before="100" w:beforeAutospacing="1" w:after="100" w:afterAutospacing="1"/>
        <w:jc w:val="both"/>
        <w:rPr>
          <w:rFonts w:ascii="Times New Roman" w:eastAsia="Times New Roman" w:hAnsi="Times New Roman" w:cs="Times New Roman"/>
          <w:kern w:val="0"/>
          <w:lang w:eastAsia="es-ES_tradnl"/>
          <w14:ligatures w14:val="none"/>
        </w:rPr>
      </w:pPr>
      <w:r w:rsidRPr="00556E5A">
        <w:rPr>
          <w:rFonts w:ascii="Times New Roman" w:eastAsia="Times New Roman" w:hAnsi="Times New Roman" w:cs="Times New Roman"/>
          <w:kern w:val="0"/>
          <w:lang w:eastAsia="es-ES_tradnl"/>
          <w14:ligatures w14:val="none"/>
        </w:rPr>
        <w:t>Desde esta perspectiva, la prohibición general cumple una función esencialmente preventiva: desplaza la carga de la justificación hacia el responsable del tratamiento y exige que cualquier tratamiento de datos de salud se apoye en una base jurídica clara y específica. De este modo, el RGPD pretende evitar tratamientos indiscriminados o excesivamente amplios de información sanitaria, reforzando el control del interesado y la exigencia de proporcionalidad.</w:t>
      </w:r>
    </w:p>
    <w:p w14:paraId="53B32514" w14:textId="67F67FA9" w:rsidR="00556E5A" w:rsidRPr="00556E5A" w:rsidRDefault="00556E5A" w:rsidP="003A052F">
      <w:pPr>
        <w:spacing w:before="100" w:beforeAutospacing="1" w:after="100" w:afterAutospacing="1"/>
        <w:jc w:val="both"/>
        <w:rPr>
          <w:rFonts w:ascii="Times New Roman" w:eastAsia="Times New Roman" w:hAnsi="Times New Roman" w:cs="Times New Roman"/>
          <w:kern w:val="0"/>
          <w:lang w:eastAsia="es-ES_tradnl"/>
          <w14:ligatures w14:val="none"/>
        </w:rPr>
      </w:pPr>
      <w:r w:rsidRPr="00556E5A">
        <w:rPr>
          <w:rFonts w:ascii="Times New Roman" w:eastAsia="Times New Roman" w:hAnsi="Times New Roman" w:cs="Times New Roman"/>
          <w:kern w:val="0"/>
          <w:lang w:eastAsia="es-ES_tradnl"/>
          <w14:ligatures w14:val="none"/>
        </w:rPr>
        <w:lastRenderedPageBreak/>
        <w:t>La jurisprudencia constitucional ha subrayado, además, que la utilización de datos sanitarios sin una base jurídica adecuada constituye una lesión autónoma del derecho fundamental a la protección de datos, incluso al margen de la existencia de un daño material concreto</w:t>
      </w:r>
      <w:r w:rsidR="00C8368F">
        <w:rPr>
          <w:rStyle w:val="Refdenotaalpie"/>
          <w:rFonts w:ascii="Times New Roman" w:eastAsia="Times New Roman" w:hAnsi="Times New Roman" w:cs="Times New Roman"/>
          <w:kern w:val="0"/>
          <w:lang w:eastAsia="es-ES_tradnl"/>
          <w14:ligatures w14:val="none"/>
        </w:rPr>
        <w:footnoteReference w:id="9"/>
      </w:r>
      <w:r w:rsidRPr="00556E5A">
        <w:rPr>
          <w:rFonts w:ascii="Times New Roman" w:eastAsia="Times New Roman" w:hAnsi="Times New Roman" w:cs="Times New Roman"/>
          <w:kern w:val="0"/>
          <w:lang w:eastAsia="es-ES_tradnl"/>
          <w14:ligatures w14:val="none"/>
        </w:rPr>
        <w:t>. Esta doctrina resulta coherente con la lógica del RGPD y pone de manifiesto la especial intensidad de las garantías exigibles en este ámbito.</w:t>
      </w:r>
    </w:p>
    <w:p w14:paraId="1AA2538C" w14:textId="4091B95F" w:rsidR="00556E5A" w:rsidRPr="00556E5A" w:rsidRDefault="00284594" w:rsidP="00556E5A">
      <w:pPr>
        <w:spacing w:before="100" w:beforeAutospacing="1" w:after="100" w:afterAutospacing="1"/>
        <w:jc w:val="both"/>
        <w:outlineLvl w:val="1"/>
        <w:rPr>
          <w:rFonts w:ascii="Times New Roman" w:eastAsia="Times New Roman" w:hAnsi="Times New Roman" w:cs="Times New Roman"/>
          <w:b/>
          <w:bCs/>
          <w:kern w:val="0"/>
          <w:lang w:eastAsia="es-ES_tradnl"/>
          <w14:ligatures w14:val="none"/>
        </w:rPr>
      </w:pPr>
      <w:r>
        <w:rPr>
          <w:rFonts w:ascii="Times New Roman" w:eastAsia="Times New Roman" w:hAnsi="Times New Roman" w:cs="Times New Roman"/>
          <w:b/>
          <w:bCs/>
          <w:kern w:val="0"/>
          <w:lang w:eastAsia="es-ES_tradnl"/>
          <w14:ligatures w14:val="none"/>
        </w:rPr>
        <w:t>3</w:t>
      </w:r>
      <w:r w:rsidR="00556E5A" w:rsidRPr="00556E5A">
        <w:rPr>
          <w:rFonts w:ascii="Times New Roman" w:eastAsia="Times New Roman" w:hAnsi="Times New Roman" w:cs="Times New Roman"/>
          <w:b/>
          <w:bCs/>
          <w:kern w:val="0"/>
          <w:lang w:eastAsia="es-ES_tradnl"/>
          <w14:ligatures w14:val="none"/>
        </w:rPr>
        <w:t>.2. Las excepciones al régimen de prohibición y sus límites</w:t>
      </w:r>
    </w:p>
    <w:p w14:paraId="606BEF2F" w14:textId="77777777" w:rsidR="00556E5A" w:rsidRPr="00556E5A" w:rsidRDefault="00556E5A" w:rsidP="00556E5A">
      <w:pPr>
        <w:spacing w:before="100" w:beforeAutospacing="1" w:after="100" w:afterAutospacing="1"/>
        <w:jc w:val="both"/>
        <w:rPr>
          <w:rFonts w:ascii="Times New Roman" w:eastAsia="Times New Roman" w:hAnsi="Times New Roman" w:cs="Times New Roman"/>
          <w:kern w:val="0"/>
          <w:lang w:eastAsia="es-ES_tradnl"/>
          <w14:ligatures w14:val="none"/>
        </w:rPr>
      </w:pPr>
      <w:r w:rsidRPr="00556E5A">
        <w:rPr>
          <w:rFonts w:ascii="Times New Roman" w:eastAsia="Times New Roman" w:hAnsi="Times New Roman" w:cs="Times New Roman"/>
          <w:kern w:val="0"/>
          <w:lang w:eastAsia="es-ES_tradnl"/>
          <w14:ligatures w14:val="none"/>
        </w:rPr>
        <w:t>Frente a la prohibición general del artículo 9.1 RGPD, el apartado segundo del mismo precepto establece un catálogo tasado de excepciones que permiten el tratamiento de datos de salud en determinadas circunstancias. Entre ellas destacan, por su relevancia práctica, el consentimiento explícito del interesado, el tratamiento necesario por razones de interés público en el ámbito de la salud y el tratamiento necesario para la prestación de asistencia o tratamiento sanitario.</w:t>
      </w:r>
    </w:p>
    <w:p w14:paraId="27C3C94C" w14:textId="31A349E7" w:rsidR="00556E5A" w:rsidRPr="00556E5A" w:rsidRDefault="00556E5A" w:rsidP="00556E5A">
      <w:pPr>
        <w:spacing w:before="100" w:beforeAutospacing="1" w:after="100" w:afterAutospacing="1"/>
        <w:jc w:val="both"/>
        <w:rPr>
          <w:rFonts w:ascii="Times New Roman" w:eastAsia="Times New Roman" w:hAnsi="Times New Roman" w:cs="Times New Roman"/>
          <w:kern w:val="0"/>
          <w:lang w:eastAsia="es-ES_tradnl"/>
          <w14:ligatures w14:val="none"/>
        </w:rPr>
      </w:pPr>
      <w:r w:rsidRPr="00556E5A">
        <w:rPr>
          <w:rFonts w:ascii="Times New Roman" w:eastAsia="Times New Roman" w:hAnsi="Times New Roman" w:cs="Times New Roman"/>
          <w:kern w:val="0"/>
          <w:lang w:eastAsia="es-ES_tradnl"/>
          <w14:ligatures w14:val="none"/>
        </w:rPr>
        <w:t>Sin embargo, la aplicación de estas excepciones no está exenta de dificultades. En particular, el recurso al consentimiento del interesado presenta límites evidentes en el ámbito sanitario, donde concurren con frecuencia situaciones de necesidad, relaciones de desequilibrio y tratamientos complejos. Como han puesto de relieve las directrices del Comité Europeo de Protección de Datos, el consentimiento solo puede operar como base legitimadora válida cuando sea verdaderamente libre, informado y específico, requisitos que no siempre resultan fáciles de garantizar en contextos asistenciales</w:t>
      </w:r>
      <w:r w:rsidR="006F0787">
        <w:rPr>
          <w:rStyle w:val="Refdenotaalpie"/>
          <w:rFonts w:ascii="Times New Roman" w:eastAsia="Times New Roman" w:hAnsi="Times New Roman" w:cs="Times New Roman"/>
          <w:kern w:val="0"/>
          <w:lang w:eastAsia="es-ES_tradnl"/>
          <w14:ligatures w14:val="none"/>
        </w:rPr>
        <w:footnoteReference w:id="10"/>
      </w:r>
      <w:r w:rsidRPr="00556E5A">
        <w:rPr>
          <w:rFonts w:ascii="Times New Roman" w:eastAsia="Times New Roman" w:hAnsi="Times New Roman" w:cs="Times New Roman"/>
          <w:kern w:val="0"/>
          <w:lang w:eastAsia="es-ES_tradnl"/>
          <w14:ligatures w14:val="none"/>
        </w:rPr>
        <w:t>.</w:t>
      </w:r>
    </w:p>
    <w:p w14:paraId="1D0E3FAE" w14:textId="77777777" w:rsidR="00556E5A" w:rsidRPr="00556E5A" w:rsidRDefault="00556E5A" w:rsidP="00556E5A">
      <w:pPr>
        <w:spacing w:before="100" w:beforeAutospacing="1" w:after="100" w:afterAutospacing="1"/>
        <w:jc w:val="both"/>
        <w:rPr>
          <w:rFonts w:ascii="Times New Roman" w:eastAsia="Times New Roman" w:hAnsi="Times New Roman" w:cs="Times New Roman"/>
          <w:kern w:val="0"/>
          <w:lang w:eastAsia="es-ES_tradnl"/>
          <w14:ligatures w14:val="none"/>
        </w:rPr>
      </w:pPr>
      <w:r w:rsidRPr="00556E5A">
        <w:rPr>
          <w:rFonts w:ascii="Times New Roman" w:eastAsia="Times New Roman" w:hAnsi="Times New Roman" w:cs="Times New Roman"/>
          <w:kern w:val="0"/>
          <w:lang w:eastAsia="es-ES_tradnl"/>
          <w14:ligatures w14:val="none"/>
        </w:rPr>
        <w:t>Por ello, el RGPD concede un papel especialmente relevante a otras bases jurídicas vinculadas al interés público en el ámbito de la salud y a la prestación de servicios sanitarios. Estas excepciones permiten articular un equilibrio entre la protección reforzada de los datos de salud y el funcionamiento eficaz de los sistemas sanitarios, siempre que se apliquen de forma estricta y acompañadas de las garantías adecuadas.</w:t>
      </w:r>
    </w:p>
    <w:p w14:paraId="46ADAC3C" w14:textId="77777777" w:rsidR="00556E5A" w:rsidRDefault="00556E5A" w:rsidP="00556E5A">
      <w:pPr>
        <w:spacing w:before="100" w:beforeAutospacing="1" w:after="100" w:afterAutospacing="1"/>
        <w:jc w:val="both"/>
        <w:rPr>
          <w:rFonts w:ascii="Times New Roman" w:eastAsia="Times New Roman" w:hAnsi="Times New Roman" w:cs="Times New Roman"/>
          <w:kern w:val="0"/>
          <w:lang w:eastAsia="es-ES_tradnl"/>
          <w14:ligatures w14:val="none"/>
        </w:rPr>
      </w:pPr>
      <w:r w:rsidRPr="00556E5A">
        <w:rPr>
          <w:rFonts w:ascii="Times New Roman" w:eastAsia="Times New Roman" w:hAnsi="Times New Roman" w:cs="Times New Roman"/>
          <w:kern w:val="0"/>
          <w:lang w:eastAsia="es-ES_tradnl"/>
          <w14:ligatures w14:val="none"/>
        </w:rPr>
        <w:t>En definitiva, el régimen de prohibición y excepciones del artículo 9 RGPD configura un sistema deliberadamente exigente, que obliga a ponderar de manera constante la protección de los derechos fundamentales y las necesidades legítimas del tratamiento de datos de salud. Este equilibrio, necesariamente dinámico, constituye uno de los principales retos de la aplicación práctica del Reglamento en el ámbito sanitario.</w:t>
      </w:r>
    </w:p>
    <w:p w14:paraId="79B93AC1" w14:textId="3D402911" w:rsidR="00C553DA" w:rsidRDefault="00C553DA" w:rsidP="00556E5A">
      <w:pPr>
        <w:spacing w:before="100" w:beforeAutospacing="1" w:after="100" w:afterAutospacing="1"/>
        <w:jc w:val="both"/>
        <w:rPr>
          <w:rFonts w:ascii="Times New Roman" w:hAnsi="Times New Roman" w:cs="Times New Roman"/>
        </w:rPr>
      </w:pPr>
      <w:r w:rsidRPr="00C553DA">
        <w:rPr>
          <w:rFonts w:ascii="Times New Roman" w:hAnsi="Times New Roman" w:cs="Times New Roman" w:hint="cs"/>
        </w:rPr>
        <w:t xml:space="preserve">Estas tensiones adquieren una relevancia particular en los actuales procesos de reutilización de datos de salud con fines de investigación e innovación, que encuentran en </w:t>
      </w:r>
      <w:r w:rsidR="007F708C">
        <w:rPr>
          <w:rFonts w:ascii="Times New Roman" w:hAnsi="Times New Roman" w:cs="Times New Roman"/>
        </w:rPr>
        <w:t>este ámbito su</w:t>
      </w:r>
      <w:r w:rsidRPr="00C553DA">
        <w:rPr>
          <w:rFonts w:ascii="Times New Roman" w:hAnsi="Times New Roman" w:cs="Times New Roman" w:hint="cs"/>
        </w:rPr>
        <w:t xml:space="preserve"> principal marco de desarrollo.</w:t>
      </w:r>
    </w:p>
    <w:p w14:paraId="34D85A4C" w14:textId="50184BD4" w:rsidR="00CB0785" w:rsidRPr="00CB0785" w:rsidRDefault="00284594" w:rsidP="005F0DEC">
      <w:pPr>
        <w:spacing w:before="100" w:beforeAutospacing="1" w:after="100" w:afterAutospacing="1"/>
        <w:jc w:val="both"/>
        <w:outlineLvl w:val="1"/>
        <w:rPr>
          <w:rFonts w:ascii="Times New Roman" w:eastAsia="Times New Roman" w:hAnsi="Times New Roman" w:cs="Times New Roman"/>
          <w:b/>
          <w:bCs/>
          <w:kern w:val="0"/>
          <w:sz w:val="28"/>
          <w:szCs w:val="28"/>
          <w:lang w:eastAsia="es-ES_tradnl"/>
          <w14:ligatures w14:val="none"/>
        </w:rPr>
      </w:pPr>
      <w:r>
        <w:rPr>
          <w:rFonts w:ascii="Times New Roman" w:eastAsia="Times New Roman" w:hAnsi="Times New Roman" w:cs="Times New Roman"/>
          <w:b/>
          <w:bCs/>
          <w:kern w:val="0"/>
          <w:sz w:val="28"/>
          <w:szCs w:val="28"/>
          <w:lang w:eastAsia="es-ES_tradnl"/>
          <w14:ligatures w14:val="none"/>
        </w:rPr>
        <w:t>4</w:t>
      </w:r>
      <w:r w:rsidR="00CB0785" w:rsidRPr="00CB0785">
        <w:rPr>
          <w:rFonts w:ascii="Times New Roman" w:eastAsia="Times New Roman" w:hAnsi="Times New Roman" w:cs="Times New Roman"/>
          <w:b/>
          <w:bCs/>
          <w:kern w:val="0"/>
          <w:sz w:val="28"/>
          <w:szCs w:val="28"/>
          <w:lang w:eastAsia="es-ES_tradnl"/>
          <w14:ligatures w14:val="none"/>
        </w:rPr>
        <w:t>. El Espacio Europeo de Datos Sanitarios y el equilibrio entre protección de datos e investigación</w:t>
      </w:r>
    </w:p>
    <w:p w14:paraId="6B0CF5D1" w14:textId="61E16D68" w:rsidR="00CB0785" w:rsidRPr="00CB0785" w:rsidRDefault="00CB0785" w:rsidP="00FB6BAB">
      <w:pPr>
        <w:spacing w:before="100" w:beforeAutospacing="1" w:after="100" w:afterAutospacing="1"/>
        <w:jc w:val="both"/>
        <w:rPr>
          <w:rFonts w:ascii="Times New Roman" w:eastAsia="Times New Roman" w:hAnsi="Times New Roman" w:cs="Times New Roman"/>
          <w:kern w:val="0"/>
          <w:lang w:eastAsia="es-ES_tradnl"/>
          <w14:ligatures w14:val="none"/>
        </w:rPr>
      </w:pPr>
      <w:r w:rsidRPr="00CB0785">
        <w:rPr>
          <w:rFonts w:ascii="Times New Roman" w:eastAsia="Times New Roman" w:hAnsi="Times New Roman" w:cs="Times New Roman"/>
          <w:kern w:val="0"/>
          <w:lang w:eastAsia="es-ES_tradnl"/>
          <w14:ligatures w14:val="none"/>
        </w:rPr>
        <w:t xml:space="preserve">La progresiva digitalización de los sistemas sanitarios y el creciente valor de los datos de salud para la investigación biomédica han situado a estos datos en el centro de las políticas públicas europeas. En este contexto se inscribe la iniciativa del </w:t>
      </w:r>
      <w:r w:rsidRPr="00114D60">
        <w:rPr>
          <w:rFonts w:ascii="Times New Roman" w:eastAsia="Times New Roman" w:hAnsi="Times New Roman" w:cs="Times New Roman"/>
          <w:kern w:val="0"/>
          <w:lang w:eastAsia="es-ES_tradnl"/>
          <w14:ligatures w14:val="none"/>
        </w:rPr>
        <w:t>Espacio Europeo de Datos Sanitarios (</w:t>
      </w:r>
      <w:r w:rsidRPr="00114D60">
        <w:rPr>
          <w:rFonts w:ascii="Times New Roman" w:eastAsia="Times New Roman" w:hAnsi="Times New Roman" w:cs="Times New Roman"/>
          <w:i/>
          <w:iCs/>
          <w:kern w:val="0"/>
          <w:lang w:eastAsia="es-ES_tradnl"/>
          <w14:ligatures w14:val="none"/>
        </w:rPr>
        <w:t xml:space="preserve">European </w:t>
      </w:r>
      <w:proofErr w:type="spellStart"/>
      <w:r w:rsidRPr="00114D60">
        <w:rPr>
          <w:rFonts w:ascii="Times New Roman" w:eastAsia="Times New Roman" w:hAnsi="Times New Roman" w:cs="Times New Roman"/>
          <w:i/>
          <w:iCs/>
          <w:kern w:val="0"/>
          <w:lang w:eastAsia="es-ES_tradnl"/>
          <w14:ligatures w14:val="none"/>
        </w:rPr>
        <w:t>Health</w:t>
      </w:r>
      <w:proofErr w:type="spellEnd"/>
      <w:r w:rsidRPr="00114D60">
        <w:rPr>
          <w:rFonts w:ascii="Times New Roman" w:eastAsia="Times New Roman" w:hAnsi="Times New Roman" w:cs="Times New Roman"/>
          <w:i/>
          <w:iCs/>
          <w:kern w:val="0"/>
          <w:lang w:eastAsia="es-ES_tradnl"/>
          <w14:ligatures w14:val="none"/>
        </w:rPr>
        <w:t xml:space="preserve"> Data </w:t>
      </w:r>
      <w:proofErr w:type="spellStart"/>
      <w:r w:rsidRPr="00114D60">
        <w:rPr>
          <w:rFonts w:ascii="Times New Roman" w:eastAsia="Times New Roman" w:hAnsi="Times New Roman" w:cs="Times New Roman"/>
          <w:i/>
          <w:iCs/>
          <w:kern w:val="0"/>
          <w:lang w:eastAsia="es-ES_tradnl"/>
          <w14:ligatures w14:val="none"/>
        </w:rPr>
        <w:t>Space</w:t>
      </w:r>
      <w:proofErr w:type="spellEnd"/>
      <w:r w:rsidRPr="00114D60">
        <w:rPr>
          <w:rFonts w:ascii="Times New Roman" w:eastAsia="Times New Roman" w:hAnsi="Times New Roman" w:cs="Times New Roman"/>
          <w:kern w:val="0"/>
          <w:lang w:eastAsia="es-ES_tradnl"/>
          <w14:ligatures w14:val="none"/>
        </w:rPr>
        <w:t>),</w:t>
      </w:r>
      <w:r w:rsidRPr="00CB0785">
        <w:rPr>
          <w:rFonts w:ascii="Times New Roman" w:eastAsia="Times New Roman" w:hAnsi="Times New Roman" w:cs="Times New Roman"/>
          <w:kern w:val="0"/>
          <w:lang w:eastAsia="es-ES_tradnl"/>
          <w14:ligatures w14:val="none"/>
        </w:rPr>
        <w:t xml:space="preserve"> promovida por la Comisión Europea como un </w:t>
      </w:r>
      <w:r w:rsidRPr="00CB0785">
        <w:rPr>
          <w:rFonts w:ascii="Times New Roman" w:eastAsia="Times New Roman" w:hAnsi="Times New Roman" w:cs="Times New Roman"/>
          <w:kern w:val="0"/>
          <w:lang w:eastAsia="es-ES_tradnl"/>
          <w14:ligatures w14:val="none"/>
        </w:rPr>
        <w:lastRenderedPageBreak/>
        <w:t>marco normativo específico destinado a facilitar tanto el uso primario de los datos de salud en el ámbito de la asistencia sanitaria como su reutilización con fines secundarios, en particular para la investigación científica, la innovación y la formulación de políticas públicas en materia de salud</w:t>
      </w:r>
      <w:r>
        <w:rPr>
          <w:rStyle w:val="Refdenotaalpie"/>
          <w:rFonts w:ascii="Times New Roman" w:eastAsia="Times New Roman" w:hAnsi="Times New Roman" w:cs="Times New Roman"/>
          <w:kern w:val="0"/>
          <w:lang w:eastAsia="es-ES_tradnl"/>
          <w14:ligatures w14:val="none"/>
        </w:rPr>
        <w:footnoteReference w:id="11"/>
      </w:r>
      <w:r w:rsidRPr="00CB0785">
        <w:rPr>
          <w:rFonts w:ascii="Times New Roman" w:eastAsia="Times New Roman" w:hAnsi="Times New Roman" w:cs="Times New Roman"/>
          <w:kern w:val="0"/>
          <w:lang w:eastAsia="es-ES_tradnl"/>
          <w14:ligatures w14:val="none"/>
        </w:rPr>
        <w:t>.</w:t>
      </w:r>
    </w:p>
    <w:p w14:paraId="72F29DF2" w14:textId="0C77CF0C" w:rsidR="00CB0785" w:rsidRPr="00CB0785" w:rsidRDefault="00CB0785" w:rsidP="00FB6BAB">
      <w:pPr>
        <w:spacing w:before="100" w:beforeAutospacing="1" w:after="100" w:afterAutospacing="1"/>
        <w:jc w:val="both"/>
        <w:rPr>
          <w:rFonts w:ascii="Times New Roman" w:eastAsia="Times New Roman" w:hAnsi="Times New Roman" w:cs="Times New Roman"/>
          <w:kern w:val="0"/>
          <w:lang w:eastAsia="es-ES_tradnl"/>
          <w14:ligatures w14:val="none"/>
        </w:rPr>
      </w:pPr>
      <w:r w:rsidRPr="00CB0785">
        <w:rPr>
          <w:rFonts w:ascii="Times New Roman" w:eastAsia="Times New Roman" w:hAnsi="Times New Roman" w:cs="Times New Roman"/>
          <w:kern w:val="0"/>
          <w:lang w:eastAsia="es-ES_tradnl"/>
          <w14:ligatures w14:val="none"/>
        </w:rPr>
        <w:t xml:space="preserve">La relevancia de esta iniciativa radica en que aborda de forma directa una de las cuestiones más delicadas del Derecho de la protección de datos en el ámbito sanitario: la utilización de información especialmente sensible en contextos en los que concurren intereses públicos relevantes. El </w:t>
      </w:r>
      <w:r w:rsidR="003B3D5C">
        <w:t xml:space="preserve">EEDS </w:t>
      </w:r>
      <w:r w:rsidRPr="00CB0785">
        <w:rPr>
          <w:rFonts w:ascii="Times New Roman" w:eastAsia="Times New Roman" w:hAnsi="Times New Roman" w:cs="Times New Roman"/>
          <w:kern w:val="0"/>
          <w:lang w:eastAsia="es-ES_tradnl"/>
          <w14:ligatures w14:val="none"/>
        </w:rPr>
        <w:t>no pretende sustituir el marco general del RGPD, sino desarrollarlo desde una perspectiva sectorial, introduciendo reglas específicas de acceso y control adaptadas a las singularidades propias de los datos de salud.</w:t>
      </w:r>
    </w:p>
    <w:p w14:paraId="60A24206" w14:textId="070FBFE7" w:rsidR="00CB0785" w:rsidRPr="00CB0785" w:rsidRDefault="00284594" w:rsidP="00FB6BAB">
      <w:pPr>
        <w:spacing w:before="100" w:beforeAutospacing="1" w:after="100" w:afterAutospacing="1"/>
        <w:jc w:val="both"/>
        <w:outlineLvl w:val="1"/>
        <w:rPr>
          <w:rFonts w:ascii="Times New Roman" w:eastAsia="Times New Roman" w:hAnsi="Times New Roman" w:cs="Times New Roman"/>
          <w:b/>
          <w:bCs/>
          <w:kern w:val="0"/>
          <w:lang w:eastAsia="es-ES_tradnl"/>
          <w14:ligatures w14:val="none"/>
        </w:rPr>
      </w:pPr>
      <w:r>
        <w:rPr>
          <w:rFonts w:ascii="Times New Roman" w:eastAsia="Times New Roman" w:hAnsi="Times New Roman" w:cs="Times New Roman"/>
          <w:b/>
          <w:bCs/>
          <w:kern w:val="0"/>
          <w:lang w:eastAsia="es-ES_tradnl"/>
          <w14:ligatures w14:val="none"/>
        </w:rPr>
        <w:t>4</w:t>
      </w:r>
      <w:r w:rsidR="00CB0785" w:rsidRPr="00CB0785">
        <w:rPr>
          <w:rFonts w:ascii="Times New Roman" w:eastAsia="Times New Roman" w:hAnsi="Times New Roman" w:cs="Times New Roman"/>
          <w:b/>
          <w:bCs/>
          <w:kern w:val="0"/>
          <w:lang w:eastAsia="es-ES_tradnl"/>
          <w14:ligatures w14:val="none"/>
        </w:rPr>
        <w:t>.1</w:t>
      </w:r>
      <w:r w:rsidR="008A7C9E">
        <w:rPr>
          <w:rFonts w:ascii="Times New Roman" w:eastAsia="Times New Roman" w:hAnsi="Times New Roman" w:cs="Times New Roman"/>
          <w:b/>
          <w:bCs/>
          <w:kern w:val="0"/>
          <w:lang w:eastAsia="es-ES_tradnl"/>
          <w14:ligatures w14:val="none"/>
        </w:rPr>
        <w:t>.</w:t>
      </w:r>
      <w:r w:rsidR="00CB0785" w:rsidRPr="00CB0785">
        <w:rPr>
          <w:rFonts w:ascii="Times New Roman" w:eastAsia="Times New Roman" w:hAnsi="Times New Roman" w:cs="Times New Roman"/>
          <w:b/>
          <w:bCs/>
          <w:kern w:val="0"/>
          <w:lang w:eastAsia="es-ES_tradnl"/>
          <w14:ligatures w14:val="none"/>
        </w:rPr>
        <w:t xml:space="preserve"> El Espacio Europeo de Datos Sanitarios: objetivos y alcance</w:t>
      </w:r>
    </w:p>
    <w:p w14:paraId="4BCBDCC9" w14:textId="0C647B75" w:rsidR="00CB0785" w:rsidRPr="00CB0785" w:rsidRDefault="00420C1B" w:rsidP="00CB0785">
      <w:pPr>
        <w:spacing w:before="100" w:beforeAutospacing="1" w:after="100" w:afterAutospacing="1"/>
        <w:jc w:val="both"/>
        <w:rPr>
          <w:rFonts w:ascii="Times New Roman" w:eastAsia="Times New Roman" w:hAnsi="Times New Roman" w:cs="Times New Roman"/>
          <w:kern w:val="0"/>
          <w:lang w:eastAsia="es-ES_tradnl"/>
          <w14:ligatures w14:val="none"/>
        </w:rPr>
      </w:pPr>
      <w:r w:rsidRPr="00420C1B">
        <w:rPr>
          <w:rFonts w:ascii="Times New Roman" w:hAnsi="Times New Roman" w:cs="Times New Roman" w:hint="cs"/>
          <w:color w:val="3F3E3E"/>
          <w:shd w:val="clear" w:color="auto" w:fill="FFFFFF"/>
        </w:rPr>
        <w:t>El Reglamento 2025/327 (UE) del Parlamento Europeo y del Consejo, de 11 de febrero de 2025, que establece el </w:t>
      </w:r>
      <w:r w:rsidRPr="00420C1B">
        <w:rPr>
          <w:rStyle w:val="Fuerte"/>
          <w:rFonts w:ascii="Times New Roman" w:hAnsi="Times New Roman" w:cs="Times New Roman" w:hint="cs"/>
          <w:b w:val="0"/>
          <w:bCs w:val="0"/>
          <w:color w:val="3F3E3E"/>
          <w:shd w:val="clear" w:color="auto" w:fill="FFFFFF"/>
        </w:rPr>
        <w:t>Espacio Europeo de Datos Sanitarios</w:t>
      </w:r>
      <w:r>
        <w:rPr>
          <w:rStyle w:val="Fuerte"/>
          <w:rFonts w:ascii="Times New Roman" w:hAnsi="Times New Roman" w:cs="Times New Roman"/>
          <w:b w:val="0"/>
          <w:bCs w:val="0"/>
          <w:color w:val="3F3E3E"/>
          <w:shd w:val="clear" w:color="auto" w:fill="FFFFFF"/>
        </w:rPr>
        <w:t xml:space="preserve"> </w:t>
      </w:r>
      <w:r w:rsidRPr="00420C1B">
        <w:rPr>
          <w:rStyle w:val="Fuerte"/>
          <w:rFonts w:ascii="Times New Roman" w:hAnsi="Times New Roman" w:cs="Times New Roman"/>
          <w:b w:val="0"/>
          <w:bCs w:val="0"/>
          <w:color w:val="3F3E3E"/>
          <w:shd w:val="clear" w:color="auto" w:fill="FFFFFF"/>
        </w:rPr>
        <w:t>-EEDS</w:t>
      </w:r>
      <w:r>
        <w:rPr>
          <w:rStyle w:val="Fuerte"/>
          <w:rFonts w:ascii="Times New Roman" w:hAnsi="Times New Roman" w:cs="Times New Roman"/>
          <w:color w:val="3F3E3E"/>
          <w:shd w:val="clear" w:color="auto" w:fill="FFFFFF"/>
        </w:rPr>
        <w:t>-</w:t>
      </w:r>
      <w:r>
        <w:rPr>
          <w:rFonts w:ascii="Times New Roman" w:eastAsia="Times New Roman" w:hAnsi="Times New Roman" w:cs="Times New Roman"/>
          <w:kern w:val="0"/>
          <w:lang w:eastAsia="es-ES_tradnl"/>
          <w14:ligatures w14:val="none"/>
        </w:rPr>
        <w:t>-</w:t>
      </w:r>
      <w:r w:rsidR="003B3D5C">
        <w:t xml:space="preserve"> </w:t>
      </w:r>
      <w:r w:rsidR="00CB0785" w:rsidRPr="00CB0785">
        <w:rPr>
          <w:rFonts w:ascii="Times New Roman" w:eastAsia="Times New Roman" w:hAnsi="Times New Roman" w:cs="Times New Roman"/>
          <w:kern w:val="0"/>
          <w:lang w:eastAsia="es-ES_tradnl"/>
          <w14:ligatures w14:val="none"/>
        </w:rPr>
        <w:t>persigue dos objetivos estrechamente vinculados. Por un lado, reforzar el acceso de las personas a sus propios datos de salud y su capacidad de control sobre los mismos en el ámbito asistencial. Por otro, crear un marco común que permita la reutilización de los datos sanitarios con fines secundarios, como la investigación científica, la innovación o la elaboración de políticas públicas en materia de salud</w:t>
      </w:r>
      <w:r w:rsidR="00CB0785">
        <w:rPr>
          <w:rStyle w:val="Refdenotaalpie"/>
          <w:rFonts w:ascii="Times New Roman" w:eastAsia="Times New Roman" w:hAnsi="Times New Roman" w:cs="Times New Roman"/>
          <w:kern w:val="0"/>
          <w:lang w:eastAsia="es-ES_tradnl"/>
          <w14:ligatures w14:val="none"/>
        </w:rPr>
        <w:footnoteReference w:id="12"/>
      </w:r>
      <w:r w:rsidR="00CB0785" w:rsidRPr="00CB0785">
        <w:rPr>
          <w:rFonts w:ascii="Times New Roman" w:eastAsia="Times New Roman" w:hAnsi="Times New Roman" w:cs="Times New Roman"/>
          <w:kern w:val="0"/>
          <w:lang w:eastAsia="es-ES_tradnl"/>
          <w14:ligatures w14:val="none"/>
        </w:rPr>
        <w:t>.</w:t>
      </w:r>
    </w:p>
    <w:p w14:paraId="66E1E77B" w14:textId="4C127078" w:rsidR="00CB0785" w:rsidRPr="00CB0785" w:rsidRDefault="00CB0785" w:rsidP="00CB0785">
      <w:pPr>
        <w:spacing w:before="100" w:beforeAutospacing="1" w:after="100" w:afterAutospacing="1"/>
        <w:jc w:val="both"/>
        <w:rPr>
          <w:rFonts w:ascii="Times New Roman" w:eastAsia="Times New Roman" w:hAnsi="Times New Roman" w:cs="Times New Roman"/>
          <w:kern w:val="0"/>
          <w:lang w:eastAsia="es-ES_tradnl"/>
          <w14:ligatures w14:val="none"/>
        </w:rPr>
      </w:pPr>
      <w:r w:rsidRPr="00CB0785">
        <w:rPr>
          <w:rFonts w:ascii="Times New Roman" w:eastAsia="Times New Roman" w:hAnsi="Times New Roman" w:cs="Times New Roman"/>
          <w:kern w:val="0"/>
          <w:lang w:eastAsia="es-ES_tradnl"/>
          <w14:ligatures w14:val="none"/>
        </w:rPr>
        <w:t xml:space="preserve">Este segundo eje introduce desafíos relevantes desde la perspectiva de la protección de datos, especialmente cuando la reutilización se produce a gran escala y de forma transfronteriza. El diseño del </w:t>
      </w:r>
      <w:r w:rsidR="003B3D5C">
        <w:t xml:space="preserve">EEDS </w:t>
      </w:r>
      <w:r w:rsidRPr="00CB0785">
        <w:rPr>
          <w:rFonts w:ascii="Times New Roman" w:eastAsia="Times New Roman" w:hAnsi="Times New Roman" w:cs="Times New Roman"/>
          <w:kern w:val="0"/>
          <w:lang w:eastAsia="es-ES_tradnl"/>
          <w14:ligatures w14:val="none"/>
        </w:rPr>
        <w:t>parte de la necesidad de superar la fragmentación existente entre los Estados miembros, articulando mecanismos que faciliten el flujo de datos de salud sin debilitar las garantías previstas en el RGPD. Se opta así por un modelo de gobernanza que canaliza el acceso a la información a través de procedimientos claramente definidos y autoridades especializadas, alejándose de planteamientos basados en una apertura indiscriminada de los datos.</w:t>
      </w:r>
    </w:p>
    <w:p w14:paraId="02EC23C9" w14:textId="079B31EE" w:rsidR="00CB0785" w:rsidRPr="00CB0785" w:rsidRDefault="00CB0785" w:rsidP="00CE0A91">
      <w:pPr>
        <w:spacing w:before="100" w:beforeAutospacing="1" w:after="100" w:afterAutospacing="1"/>
        <w:jc w:val="both"/>
        <w:rPr>
          <w:rFonts w:ascii="Times New Roman" w:eastAsia="Times New Roman" w:hAnsi="Times New Roman" w:cs="Times New Roman"/>
          <w:kern w:val="0"/>
          <w:lang w:eastAsia="es-ES_tradnl"/>
          <w14:ligatures w14:val="none"/>
        </w:rPr>
      </w:pPr>
      <w:r w:rsidRPr="00CB0785">
        <w:rPr>
          <w:rFonts w:ascii="Times New Roman" w:eastAsia="Times New Roman" w:hAnsi="Times New Roman" w:cs="Times New Roman"/>
          <w:kern w:val="0"/>
          <w:lang w:eastAsia="es-ES_tradnl"/>
          <w14:ligatures w14:val="none"/>
        </w:rPr>
        <w:t>No obstante, la eficacia de este modelo dependerá de factores como la coordinación efectiva entre autoridades nacionales, la interoperabilidad de los sistemas de información sanitaria y la aplicación homogénea de las garantías de protección de datos en el conjunto de la Unión Europea. Estos elementos se configuran como condiciones necesarias para evitar soluciones fragmentadas que puedan comprometer la coherencia y la credibilidad del sistema.</w:t>
      </w:r>
    </w:p>
    <w:p w14:paraId="38258AFF" w14:textId="11E5F818" w:rsidR="00CB0785" w:rsidRPr="00CB0785" w:rsidRDefault="00284594" w:rsidP="00CE0A91">
      <w:pPr>
        <w:spacing w:before="100" w:beforeAutospacing="1" w:after="100" w:afterAutospacing="1"/>
        <w:jc w:val="both"/>
        <w:outlineLvl w:val="1"/>
        <w:rPr>
          <w:rFonts w:ascii="Times New Roman" w:eastAsia="Times New Roman" w:hAnsi="Times New Roman" w:cs="Times New Roman"/>
          <w:b/>
          <w:bCs/>
          <w:kern w:val="0"/>
          <w:lang w:eastAsia="es-ES_tradnl"/>
          <w14:ligatures w14:val="none"/>
        </w:rPr>
      </w:pPr>
      <w:r>
        <w:rPr>
          <w:rFonts w:ascii="Times New Roman" w:eastAsia="Times New Roman" w:hAnsi="Times New Roman" w:cs="Times New Roman"/>
          <w:b/>
          <w:bCs/>
          <w:kern w:val="0"/>
          <w:lang w:eastAsia="es-ES_tradnl"/>
          <w14:ligatures w14:val="none"/>
        </w:rPr>
        <w:t>4</w:t>
      </w:r>
      <w:r w:rsidR="00CB0785" w:rsidRPr="00CB0785">
        <w:rPr>
          <w:rFonts w:ascii="Times New Roman" w:eastAsia="Times New Roman" w:hAnsi="Times New Roman" w:cs="Times New Roman"/>
          <w:b/>
          <w:bCs/>
          <w:kern w:val="0"/>
          <w:lang w:eastAsia="es-ES_tradnl"/>
          <w14:ligatures w14:val="none"/>
        </w:rPr>
        <w:t>.2</w:t>
      </w:r>
      <w:r w:rsidR="008A7C9E">
        <w:rPr>
          <w:rFonts w:ascii="Times New Roman" w:eastAsia="Times New Roman" w:hAnsi="Times New Roman" w:cs="Times New Roman"/>
          <w:b/>
          <w:bCs/>
          <w:kern w:val="0"/>
          <w:lang w:eastAsia="es-ES_tradnl"/>
          <w14:ligatures w14:val="none"/>
        </w:rPr>
        <w:t>.</w:t>
      </w:r>
      <w:r>
        <w:rPr>
          <w:rFonts w:ascii="Times New Roman" w:eastAsia="Times New Roman" w:hAnsi="Times New Roman" w:cs="Times New Roman"/>
          <w:b/>
          <w:bCs/>
          <w:kern w:val="0"/>
          <w:lang w:eastAsia="es-ES_tradnl"/>
          <w14:ligatures w14:val="none"/>
        </w:rPr>
        <w:t xml:space="preserve"> </w:t>
      </w:r>
      <w:r w:rsidR="00CB0785" w:rsidRPr="00CB0785">
        <w:rPr>
          <w:rFonts w:ascii="Times New Roman" w:eastAsia="Times New Roman" w:hAnsi="Times New Roman" w:cs="Times New Roman"/>
          <w:b/>
          <w:bCs/>
          <w:kern w:val="0"/>
          <w:lang w:eastAsia="es-ES_tradnl"/>
          <w14:ligatures w14:val="none"/>
        </w:rPr>
        <w:t xml:space="preserve">Ventajas y retos en la reutilización de datos sanitarios: el EEDS y la disposición adicional 17.ª </w:t>
      </w:r>
      <w:r w:rsidR="00327949">
        <w:rPr>
          <w:rFonts w:ascii="Times New Roman" w:eastAsia="Times New Roman" w:hAnsi="Times New Roman" w:cs="Times New Roman"/>
          <w:b/>
          <w:bCs/>
          <w:kern w:val="0"/>
          <w:lang w:eastAsia="es-ES_tradnl"/>
          <w14:ligatures w14:val="none"/>
        </w:rPr>
        <w:t>de la Ley Orgánica de Protección de Datos Personales y Garantías de derechos digitales</w:t>
      </w:r>
    </w:p>
    <w:p w14:paraId="13521C3A" w14:textId="3472CBDE" w:rsidR="00CB0785" w:rsidRPr="00CB0785" w:rsidRDefault="00CB0785" w:rsidP="00CB0785">
      <w:pPr>
        <w:spacing w:before="100" w:beforeAutospacing="1" w:after="100" w:afterAutospacing="1"/>
        <w:jc w:val="both"/>
        <w:rPr>
          <w:rFonts w:ascii="Times New Roman" w:eastAsia="Times New Roman" w:hAnsi="Times New Roman" w:cs="Times New Roman"/>
          <w:kern w:val="0"/>
          <w:lang w:eastAsia="es-ES_tradnl"/>
          <w14:ligatures w14:val="none"/>
        </w:rPr>
      </w:pPr>
      <w:r w:rsidRPr="00CB0785">
        <w:rPr>
          <w:rFonts w:ascii="Times New Roman" w:eastAsia="Times New Roman" w:hAnsi="Times New Roman" w:cs="Times New Roman"/>
          <w:kern w:val="0"/>
          <w:lang w:eastAsia="es-ES_tradnl"/>
          <w14:ligatures w14:val="none"/>
        </w:rPr>
        <w:t xml:space="preserve">La evolución hacia modelos que facilitan la reutilización de los datos de salud con fines de investigación pone de manifiesto un cambio de enfoque respecto de concepciones tradicionales excesivamente centradas en el consentimiento individual como eje casi exclusivo de legitimación. Tanto el </w:t>
      </w:r>
      <w:r w:rsidR="003B3D5C">
        <w:t xml:space="preserve">EEDS </w:t>
      </w:r>
      <w:r w:rsidRPr="00CB0785">
        <w:rPr>
          <w:rFonts w:ascii="Times New Roman" w:eastAsia="Times New Roman" w:hAnsi="Times New Roman" w:cs="Times New Roman"/>
          <w:kern w:val="0"/>
          <w:lang w:eastAsia="es-ES_tradnl"/>
          <w14:ligatures w14:val="none"/>
        </w:rPr>
        <w:t xml:space="preserve">como algunas soluciones adoptadas en el </w:t>
      </w:r>
      <w:r w:rsidRPr="00CB0785">
        <w:rPr>
          <w:rFonts w:ascii="Times New Roman" w:eastAsia="Times New Roman" w:hAnsi="Times New Roman" w:cs="Times New Roman"/>
          <w:kern w:val="0"/>
          <w:lang w:eastAsia="es-ES_tradnl"/>
          <w14:ligatures w14:val="none"/>
        </w:rPr>
        <w:lastRenderedPageBreak/>
        <w:t>ámbito nacional reflejan una apuesta por mecanismos de control institucional y garantías procedimentales más complejas, orientadas a asegurar un uso responsable de la información sanitaria.</w:t>
      </w:r>
    </w:p>
    <w:p w14:paraId="5011A167" w14:textId="71C0D4DD" w:rsidR="00CB0785" w:rsidRPr="00CB0785" w:rsidRDefault="00CB0785" w:rsidP="00CE0A91">
      <w:pPr>
        <w:spacing w:before="100" w:beforeAutospacing="1" w:after="100" w:afterAutospacing="1"/>
        <w:jc w:val="both"/>
        <w:rPr>
          <w:rFonts w:ascii="Times New Roman" w:eastAsia="Times New Roman" w:hAnsi="Times New Roman" w:cs="Times New Roman"/>
          <w:kern w:val="0"/>
          <w:lang w:eastAsia="es-ES_tradnl"/>
          <w14:ligatures w14:val="none"/>
        </w:rPr>
      </w:pPr>
      <w:r w:rsidRPr="00CB0785">
        <w:rPr>
          <w:rFonts w:ascii="Times New Roman" w:eastAsia="Times New Roman" w:hAnsi="Times New Roman" w:cs="Times New Roman"/>
          <w:kern w:val="0"/>
          <w:lang w:eastAsia="es-ES_tradnl"/>
          <w14:ligatures w14:val="none"/>
        </w:rPr>
        <w:t xml:space="preserve">En el ordenamiento español, la </w:t>
      </w:r>
      <w:r w:rsidRPr="00A60BDC">
        <w:rPr>
          <w:rFonts w:ascii="Times New Roman" w:eastAsia="Times New Roman" w:hAnsi="Times New Roman" w:cs="Times New Roman"/>
          <w:kern w:val="0"/>
          <w:lang w:eastAsia="es-ES_tradnl"/>
          <w14:ligatures w14:val="none"/>
        </w:rPr>
        <w:t xml:space="preserve">disposición adicional decimoséptima de la </w:t>
      </w:r>
      <w:r w:rsidR="00A60BDC">
        <w:rPr>
          <w:rFonts w:ascii="Times New Roman" w:eastAsia="Times New Roman" w:hAnsi="Times New Roman" w:cs="Times New Roman"/>
          <w:kern w:val="0"/>
          <w:lang w:eastAsia="es-ES_tradnl"/>
          <w14:ligatures w14:val="none"/>
        </w:rPr>
        <w:t xml:space="preserve">Ley Orgánica de Protección de Datos y garantías de Derechos Digitales, en adelante </w:t>
      </w:r>
      <w:r w:rsidRPr="00A60BDC">
        <w:rPr>
          <w:rFonts w:ascii="Times New Roman" w:eastAsia="Times New Roman" w:hAnsi="Times New Roman" w:cs="Times New Roman"/>
          <w:kern w:val="0"/>
          <w:lang w:eastAsia="es-ES_tradnl"/>
          <w14:ligatures w14:val="none"/>
        </w:rPr>
        <w:t>LOPDGDD</w:t>
      </w:r>
      <w:r w:rsidR="00A60BDC">
        <w:rPr>
          <w:rFonts w:ascii="Times New Roman" w:eastAsia="Times New Roman" w:hAnsi="Times New Roman" w:cs="Times New Roman"/>
          <w:kern w:val="0"/>
          <w:lang w:eastAsia="es-ES_tradnl"/>
          <w14:ligatures w14:val="none"/>
        </w:rPr>
        <w:t>,</w:t>
      </w:r>
      <w:r w:rsidRPr="00CB0785">
        <w:rPr>
          <w:rFonts w:ascii="Times New Roman" w:eastAsia="Times New Roman" w:hAnsi="Times New Roman" w:cs="Times New Roman"/>
          <w:kern w:val="0"/>
          <w:lang w:eastAsia="es-ES_tradnl"/>
          <w14:ligatures w14:val="none"/>
        </w:rPr>
        <w:t xml:space="preserve"> constituye un ejemplo significativo de esta evolución, al no exigir el consentimiento del interesado cuando el tratamiento de datos de salud con fines de investigación se desarrolla dentro del mismo ámbito o campo científico y se cumplen determinadas condiciones</w:t>
      </w:r>
      <w:r w:rsidR="00FB6BAB">
        <w:rPr>
          <w:rStyle w:val="Refdenotaalpie"/>
          <w:rFonts w:ascii="Times New Roman" w:eastAsia="Times New Roman" w:hAnsi="Times New Roman" w:cs="Times New Roman"/>
          <w:kern w:val="0"/>
          <w:lang w:eastAsia="es-ES_tradnl"/>
          <w14:ligatures w14:val="none"/>
        </w:rPr>
        <w:footnoteReference w:id="13"/>
      </w:r>
      <w:r w:rsidRPr="00CB0785">
        <w:rPr>
          <w:rFonts w:ascii="Times New Roman" w:eastAsia="Times New Roman" w:hAnsi="Times New Roman" w:cs="Times New Roman"/>
          <w:kern w:val="0"/>
          <w:lang w:eastAsia="es-ES_tradnl"/>
          <w14:ligatures w14:val="none"/>
        </w:rPr>
        <w:t xml:space="preserve">. Esta opción normativa parte de una aproximación realista a los procesos de investigación biomédica, en los que la obtención del consentimiento individual puede resultar impracticable o insuficiente como garantía efectiva, especialmente en supuestos de reutilización de datos preexistentes. La disposición adicional 17.ª desplaza así el foco hacia salvaguardas sustantivas, como la </w:t>
      </w:r>
      <w:proofErr w:type="spellStart"/>
      <w:r w:rsidRPr="00CB0785">
        <w:rPr>
          <w:rFonts w:ascii="Times New Roman" w:eastAsia="Times New Roman" w:hAnsi="Times New Roman" w:cs="Times New Roman"/>
          <w:kern w:val="0"/>
          <w:lang w:eastAsia="es-ES_tradnl"/>
          <w14:ligatures w14:val="none"/>
        </w:rPr>
        <w:t>seudonimización</w:t>
      </w:r>
      <w:proofErr w:type="spellEnd"/>
      <w:r w:rsidRPr="00CB0785">
        <w:rPr>
          <w:rFonts w:ascii="Times New Roman" w:eastAsia="Times New Roman" w:hAnsi="Times New Roman" w:cs="Times New Roman"/>
          <w:kern w:val="0"/>
          <w:lang w:eastAsia="es-ES_tradnl"/>
          <w14:ligatures w14:val="none"/>
        </w:rPr>
        <w:t xml:space="preserve"> de los datos, la evaluación previa por comités de ética de la investigación y la limitación estricta de los accesos.</w:t>
      </w:r>
    </w:p>
    <w:p w14:paraId="4F69DF6F" w14:textId="09432487" w:rsidR="00CB0785" w:rsidRPr="00CB0785" w:rsidRDefault="00CB0785" w:rsidP="00CE0A91">
      <w:pPr>
        <w:spacing w:before="100" w:beforeAutospacing="1" w:after="100" w:afterAutospacing="1"/>
        <w:jc w:val="both"/>
        <w:rPr>
          <w:rFonts w:ascii="Times New Roman" w:eastAsia="Times New Roman" w:hAnsi="Times New Roman" w:cs="Times New Roman"/>
          <w:kern w:val="0"/>
          <w:lang w:eastAsia="es-ES_tradnl"/>
          <w14:ligatures w14:val="none"/>
        </w:rPr>
      </w:pPr>
      <w:r w:rsidRPr="00CB0785">
        <w:rPr>
          <w:rFonts w:ascii="Times New Roman" w:eastAsia="Times New Roman" w:hAnsi="Times New Roman" w:cs="Times New Roman"/>
          <w:kern w:val="0"/>
          <w:lang w:eastAsia="es-ES_tradnl"/>
          <w14:ligatures w14:val="none"/>
        </w:rPr>
        <w:t xml:space="preserve">Este planteamiento ofrece claves relevantes para el desarrollo del </w:t>
      </w:r>
      <w:r w:rsidR="00FD6A01">
        <w:t xml:space="preserve">EEDS </w:t>
      </w:r>
      <w:r w:rsidRPr="00CB0785">
        <w:rPr>
          <w:rFonts w:ascii="Times New Roman" w:eastAsia="Times New Roman" w:hAnsi="Times New Roman" w:cs="Times New Roman"/>
          <w:kern w:val="0"/>
          <w:lang w:eastAsia="es-ES_tradnl"/>
          <w14:ligatures w14:val="none"/>
        </w:rPr>
        <w:t xml:space="preserve">en la medida en que pone de relieve que la protección de los derechos fundamentales no depende exclusivamente de la voluntad individual del interesado, sino también de la solidez de los mecanismos institucionales que gobiernan el acceso y el uso de los datos. Desde esta perspectiva, uno de los principales retos del EEDS reside en garantizar la </w:t>
      </w:r>
      <w:r w:rsidRPr="00A60BDC">
        <w:rPr>
          <w:rFonts w:ascii="Times New Roman" w:eastAsia="Times New Roman" w:hAnsi="Times New Roman" w:cs="Times New Roman"/>
          <w:kern w:val="0"/>
          <w:lang w:eastAsia="es-ES_tradnl"/>
          <w14:ligatures w14:val="none"/>
        </w:rPr>
        <w:t>imparcialidad, independencia y solvencia técnica de las autoridades encargadas de autorizar y supervisar el acceso a los datos de salud,</w:t>
      </w:r>
      <w:r w:rsidRPr="00CB0785">
        <w:rPr>
          <w:rFonts w:ascii="Times New Roman" w:eastAsia="Times New Roman" w:hAnsi="Times New Roman" w:cs="Times New Roman"/>
          <w:kern w:val="0"/>
          <w:lang w:eastAsia="es-ES_tradnl"/>
          <w14:ligatures w14:val="none"/>
        </w:rPr>
        <w:t xml:space="preserve"> evitando desigualdades entre Estados miembros o decisiones divergentes que puedan erosionar la confianza en el sistema.</w:t>
      </w:r>
    </w:p>
    <w:p w14:paraId="2BAD7832" w14:textId="77777777" w:rsidR="00CB0785" w:rsidRPr="00CB0785" w:rsidRDefault="00CB0785" w:rsidP="00CE0A91">
      <w:pPr>
        <w:spacing w:before="100" w:beforeAutospacing="1" w:after="100" w:afterAutospacing="1"/>
        <w:jc w:val="both"/>
        <w:rPr>
          <w:rFonts w:ascii="Times New Roman" w:eastAsia="Times New Roman" w:hAnsi="Times New Roman" w:cs="Times New Roman"/>
          <w:kern w:val="0"/>
          <w:lang w:eastAsia="es-ES_tradnl"/>
          <w14:ligatures w14:val="none"/>
        </w:rPr>
      </w:pPr>
      <w:r w:rsidRPr="00CB0785">
        <w:rPr>
          <w:rFonts w:ascii="Times New Roman" w:eastAsia="Times New Roman" w:hAnsi="Times New Roman" w:cs="Times New Roman"/>
          <w:kern w:val="0"/>
          <w:lang w:eastAsia="es-ES_tradnl"/>
          <w14:ligatures w14:val="none"/>
        </w:rPr>
        <w:t>La experiencia española muestra, asimismo, que la intervención de los comités de ética de la investigación constituye una garantía relevante. No obstante, este modelo no está exento de desafíos en términos de homogeneidad de criterios, independencia y disponibilidad de recursos. El fortalecimiento de estos órganos y la clarificación de sus funciones resultan esenciales para asegurar que las garantías previstas se traduzcan en un control efectivo y no se limiten a exigencias meramente formales.</w:t>
      </w:r>
    </w:p>
    <w:p w14:paraId="38E8EBF5" w14:textId="102E4286" w:rsidR="00CB0785" w:rsidRDefault="00CB0785" w:rsidP="00CE0A91">
      <w:pPr>
        <w:spacing w:before="100" w:beforeAutospacing="1" w:after="100" w:afterAutospacing="1"/>
        <w:jc w:val="both"/>
        <w:rPr>
          <w:rFonts w:ascii="Times New Roman" w:eastAsia="Times New Roman" w:hAnsi="Times New Roman" w:cs="Times New Roman"/>
          <w:kern w:val="0"/>
          <w:lang w:eastAsia="es-ES_tradnl"/>
          <w14:ligatures w14:val="none"/>
        </w:rPr>
      </w:pPr>
      <w:r w:rsidRPr="00CB0785">
        <w:rPr>
          <w:rFonts w:ascii="Times New Roman" w:eastAsia="Times New Roman" w:hAnsi="Times New Roman" w:cs="Times New Roman"/>
          <w:kern w:val="0"/>
          <w:lang w:eastAsia="es-ES_tradnl"/>
          <w14:ligatures w14:val="none"/>
        </w:rPr>
        <w:t xml:space="preserve">En </w:t>
      </w:r>
      <w:r w:rsidR="00465979">
        <w:rPr>
          <w:rFonts w:ascii="Times New Roman" w:eastAsia="Times New Roman" w:hAnsi="Times New Roman" w:cs="Times New Roman"/>
          <w:kern w:val="0"/>
          <w:lang w:eastAsia="es-ES_tradnl"/>
          <w14:ligatures w14:val="none"/>
        </w:rPr>
        <w:t>conclusión</w:t>
      </w:r>
      <w:r w:rsidRPr="00CB0785">
        <w:rPr>
          <w:rFonts w:ascii="Times New Roman" w:eastAsia="Times New Roman" w:hAnsi="Times New Roman" w:cs="Times New Roman"/>
          <w:kern w:val="0"/>
          <w:lang w:eastAsia="es-ES_tradnl"/>
          <w14:ligatures w14:val="none"/>
        </w:rPr>
        <w:t>, tanto el Espacio Europeo de Datos Sanitarios como la disposición adicional decimoséptima de la LOPDGDD representan avances significativos en la articulación de modelos que permiten compatibilizar la protección de los datos de salud con las necesidades de la investigación científica. Su desarrollo futuro exigirá seguir perfeccionando los mecanismos de gobernanza y control, de modo que el uso de la información sanitaria se apoye en estructuras institucionales sólidas y contribuya a generar un marco de confianza duradero.</w:t>
      </w:r>
    </w:p>
    <w:p w14:paraId="4D4C8C35" w14:textId="0241C3C2" w:rsidR="005351EF" w:rsidRPr="005351EF" w:rsidRDefault="00284594" w:rsidP="005351EF">
      <w:pPr>
        <w:spacing w:before="100" w:beforeAutospacing="1" w:after="100" w:afterAutospacing="1"/>
        <w:jc w:val="both"/>
        <w:outlineLvl w:val="1"/>
        <w:rPr>
          <w:rFonts w:ascii="Times New Roman" w:eastAsia="Times New Roman" w:hAnsi="Times New Roman" w:cs="Times New Roman"/>
          <w:b/>
          <w:bCs/>
          <w:kern w:val="0"/>
          <w:lang w:eastAsia="es-ES_tradnl"/>
          <w14:ligatures w14:val="none"/>
        </w:rPr>
      </w:pPr>
      <w:r>
        <w:rPr>
          <w:rFonts w:ascii="Times New Roman" w:eastAsia="Times New Roman" w:hAnsi="Times New Roman" w:cs="Times New Roman"/>
          <w:b/>
          <w:bCs/>
          <w:kern w:val="0"/>
          <w:lang w:eastAsia="es-ES_tradnl"/>
          <w14:ligatures w14:val="none"/>
        </w:rPr>
        <w:t>4</w:t>
      </w:r>
      <w:r w:rsidR="005351EF" w:rsidRPr="005351EF">
        <w:rPr>
          <w:rFonts w:ascii="Times New Roman" w:eastAsia="Times New Roman" w:hAnsi="Times New Roman" w:cs="Times New Roman"/>
          <w:b/>
          <w:bCs/>
          <w:kern w:val="0"/>
          <w:lang w:eastAsia="es-ES_tradnl"/>
          <w14:ligatures w14:val="none"/>
        </w:rPr>
        <w:t>.3</w:t>
      </w:r>
      <w:r w:rsidR="008A7C9E">
        <w:rPr>
          <w:rFonts w:ascii="Times New Roman" w:eastAsia="Times New Roman" w:hAnsi="Times New Roman" w:cs="Times New Roman"/>
          <w:b/>
          <w:bCs/>
          <w:kern w:val="0"/>
          <w:lang w:eastAsia="es-ES_tradnl"/>
          <w14:ligatures w14:val="none"/>
        </w:rPr>
        <w:t>.</w:t>
      </w:r>
      <w:r w:rsidR="005351EF" w:rsidRPr="005351EF">
        <w:rPr>
          <w:rFonts w:ascii="Times New Roman" w:eastAsia="Times New Roman" w:hAnsi="Times New Roman" w:cs="Times New Roman"/>
          <w:b/>
          <w:bCs/>
          <w:kern w:val="0"/>
          <w:lang w:eastAsia="es-ES_tradnl"/>
          <w14:ligatures w14:val="none"/>
        </w:rPr>
        <w:t xml:space="preserve"> Reutilización secundaria de datos sanitarios, mejora de la investigación y protección efectiva de los datos personales de salud</w:t>
      </w:r>
    </w:p>
    <w:p w14:paraId="0CABBD93" w14:textId="7F8B73F5" w:rsidR="005351EF" w:rsidRPr="005351EF" w:rsidRDefault="005351EF" w:rsidP="005351EF">
      <w:pPr>
        <w:spacing w:before="100" w:beforeAutospacing="1" w:after="100" w:afterAutospacing="1"/>
        <w:jc w:val="both"/>
        <w:rPr>
          <w:rFonts w:ascii="Times New Roman" w:eastAsia="Times New Roman" w:hAnsi="Times New Roman" w:cs="Times New Roman"/>
          <w:kern w:val="0"/>
          <w:lang w:eastAsia="es-ES_tradnl"/>
          <w14:ligatures w14:val="none"/>
        </w:rPr>
      </w:pPr>
      <w:r w:rsidRPr="005351EF">
        <w:rPr>
          <w:rFonts w:ascii="Times New Roman" w:eastAsia="Times New Roman" w:hAnsi="Times New Roman" w:cs="Times New Roman"/>
          <w:kern w:val="0"/>
          <w:lang w:eastAsia="es-ES_tradnl"/>
          <w14:ligatures w14:val="none"/>
        </w:rPr>
        <w:t>La consolidación de modelos de reutilización de datos sanitarios a gran escala abre oportunidades relevantes para el desarrollo de la investigación científica en Europa. En el marco del</w:t>
      </w:r>
      <w:r w:rsidR="00FD6A01">
        <w:rPr>
          <w:rFonts w:ascii="Times New Roman" w:eastAsia="Times New Roman" w:hAnsi="Times New Roman" w:cs="Times New Roman"/>
          <w:kern w:val="0"/>
          <w:lang w:eastAsia="es-ES_tradnl"/>
          <w14:ligatures w14:val="none"/>
        </w:rPr>
        <w:t xml:space="preserve"> </w:t>
      </w:r>
      <w:r w:rsidR="00FD6A01">
        <w:t>EEDS</w:t>
      </w:r>
      <w:r w:rsidRPr="005351EF">
        <w:rPr>
          <w:rFonts w:ascii="Times New Roman" w:eastAsia="Times New Roman" w:hAnsi="Times New Roman" w:cs="Times New Roman"/>
          <w:kern w:val="0"/>
          <w:lang w:eastAsia="es-ES_tradnl"/>
          <w14:ligatures w14:val="none"/>
        </w:rPr>
        <w:t xml:space="preserve">, el acceso a conjuntos amplios y diversos de datos procedentes de distintos Estados miembros permite superar algunas de las limitaciones estructurales de </w:t>
      </w:r>
      <w:r w:rsidRPr="005351EF">
        <w:rPr>
          <w:rFonts w:ascii="Times New Roman" w:eastAsia="Times New Roman" w:hAnsi="Times New Roman" w:cs="Times New Roman"/>
          <w:kern w:val="0"/>
          <w:lang w:eastAsia="es-ES_tradnl"/>
          <w14:ligatures w14:val="none"/>
        </w:rPr>
        <w:lastRenderedPageBreak/>
        <w:t xml:space="preserve">la investigación fragmentada, facilitando estudios comparativos, investigaciones longitudinales y análisis basados en poblaciones amplias. Este enfoque </w:t>
      </w:r>
      <w:r w:rsidR="005F0DEC">
        <w:rPr>
          <w:rFonts w:ascii="Times New Roman" w:eastAsia="Times New Roman" w:hAnsi="Times New Roman" w:cs="Times New Roman"/>
          <w:kern w:val="0"/>
          <w:lang w:eastAsia="es-ES_tradnl"/>
          <w14:ligatures w14:val="none"/>
        </w:rPr>
        <w:t>es</w:t>
      </w:r>
      <w:r w:rsidRPr="005351EF">
        <w:rPr>
          <w:rFonts w:ascii="Times New Roman" w:eastAsia="Times New Roman" w:hAnsi="Times New Roman" w:cs="Times New Roman"/>
          <w:kern w:val="0"/>
          <w:lang w:eastAsia="es-ES_tradnl"/>
          <w14:ligatures w14:val="none"/>
        </w:rPr>
        <w:t xml:space="preserve"> especialmente valioso en ámbitos como la investigación epidemiológica, el estudio de enfermedades raras o la evaluación de la eficacia y seguridad de tratamientos en condiciones reales de uso.</w:t>
      </w:r>
    </w:p>
    <w:p w14:paraId="33946E98" w14:textId="6BF43079" w:rsidR="005351EF" w:rsidRPr="005351EF" w:rsidRDefault="005351EF" w:rsidP="005351EF">
      <w:pPr>
        <w:spacing w:before="100" w:beforeAutospacing="1" w:after="100" w:afterAutospacing="1"/>
        <w:jc w:val="both"/>
        <w:rPr>
          <w:rFonts w:ascii="Times New Roman" w:eastAsia="Times New Roman" w:hAnsi="Times New Roman" w:cs="Times New Roman"/>
          <w:kern w:val="0"/>
          <w:lang w:eastAsia="es-ES_tradnl"/>
          <w14:ligatures w14:val="none"/>
        </w:rPr>
      </w:pPr>
      <w:r w:rsidRPr="005351EF">
        <w:rPr>
          <w:rFonts w:ascii="Times New Roman" w:eastAsia="Times New Roman" w:hAnsi="Times New Roman" w:cs="Times New Roman"/>
          <w:kern w:val="0"/>
          <w:lang w:eastAsia="es-ES_tradnl"/>
          <w14:ligatures w14:val="none"/>
        </w:rPr>
        <w:t xml:space="preserve">Uno de los principales aciertos del </w:t>
      </w:r>
      <w:r w:rsidR="00FD6A01">
        <w:t xml:space="preserve">EEDS </w:t>
      </w:r>
      <w:r w:rsidRPr="005351EF">
        <w:rPr>
          <w:rFonts w:ascii="Times New Roman" w:eastAsia="Times New Roman" w:hAnsi="Times New Roman" w:cs="Times New Roman"/>
          <w:kern w:val="0"/>
          <w:lang w:eastAsia="es-ES_tradnl"/>
          <w14:ligatures w14:val="none"/>
        </w:rPr>
        <w:t xml:space="preserve">reside en reconocer que la mejora de la investigación no depende únicamente de la cantidad de datos disponibles, sino también de la existencia de </w:t>
      </w:r>
      <w:r w:rsidRPr="00A60BDC">
        <w:rPr>
          <w:rFonts w:ascii="Times New Roman" w:eastAsia="Times New Roman" w:hAnsi="Times New Roman" w:cs="Times New Roman"/>
          <w:kern w:val="0"/>
          <w:lang w:eastAsia="es-ES_tradnl"/>
          <w14:ligatures w14:val="none"/>
        </w:rPr>
        <w:t>estructuras específicas de autorización y control del acceso</w:t>
      </w:r>
      <w:r>
        <w:rPr>
          <w:rStyle w:val="Refdenotaalpie"/>
          <w:rFonts w:ascii="Times New Roman" w:eastAsia="Times New Roman" w:hAnsi="Times New Roman" w:cs="Times New Roman"/>
          <w:b/>
          <w:bCs/>
          <w:kern w:val="0"/>
          <w:lang w:eastAsia="es-ES_tradnl"/>
          <w14:ligatures w14:val="none"/>
        </w:rPr>
        <w:footnoteReference w:id="14"/>
      </w:r>
      <w:r w:rsidRPr="005351EF">
        <w:rPr>
          <w:rFonts w:ascii="Times New Roman" w:eastAsia="Times New Roman" w:hAnsi="Times New Roman" w:cs="Times New Roman"/>
          <w:kern w:val="0"/>
          <w:lang w:eastAsia="es-ES_tradnl"/>
          <w14:ligatures w14:val="none"/>
        </w:rPr>
        <w:t>. La previsión de autoridades nacionales de acceso a los datos sanitarios permite canalizar la reutilización secundaria de la información a través de procedimientos formales, basados en evaluaciones previas de los proyectos de investigación, evitando soluciones informales o discrecionales que podrían poner en riesgo la protección de los derechos fundamentales.</w:t>
      </w:r>
    </w:p>
    <w:p w14:paraId="60638DEA" w14:textId="77777777" w:rsidR="005351EF" w:rsidRPr="005351EF" w:rsidRDefault="005351EF" w:rsidP="005351EF">
      <w:pPr>
        <w:spacing w:before="100" w:beforeAutospacing="1" w:after="100" w:afterAutospacing="1"/>
        <w:jc w:val="both"/>
        <w:rPr>
          <w:rFonts w:ascii="Times New Roman" w:eastAsia="Times New Roman" w:hAnsi="Times New Roman" w:cs="Times New Roman"/>
          <w:kern w:val="0"/>
          <w:lang w:eastAsia="es-ES_tradnl"/>
          <w14:ligatures w14:val="none"/>
        </w:rPr>
      </w:pPr>
      <w:r w:rsidRPr="005351EF">
        <w:rPr>
          <w:rFonts w:ascii="Times New Roman" w:eastAsia="Times New Roman" w:hAnsi="Times New Roman" w:cs="Times New Roman"/>
          <w:kern w:val="0"/>
          <w:lang w:eastAsia="es-ES_tradnl"/>
          <w14:ligatures w14:val="none"/>
        </w:rPr>
        <w:t xml:space="preserve">Ahora bien, la ampliación del acceso a los datos de salud solo resulta compatible con un nivel elevado de protección de los datos personales si se acompaña de medidas concretas orientadas a minimizar los riesgos inherentes a estos tratamientos. En este sentido, la reducción de riesgos no puede confiarse exclusivamente al consentimiento del interesado, sino que exige la aplicación acumulativa de </w:t>
      </w:r>
      <w:r w:rsidRPr="00A60BDC">
        <w:rPr>
          <w:rFonts w:ascii="Times New Roman" w:eastAsia="Times New Roman" w:hAnsi="Times New Roman" w:cs="Times New Roman"/>
          <w:kern w:val="0"/>
          <w:lang w:eastAsia="es-ES_tradnl"/>
          <w14:ligatures w14:val="none"/>
        </w:rPr>
        <w:t>garantías técnicas, organizativas y jurídicas. Entre ellas, destaca la limitación estricta de las finalidades de acceso</w:t>
      </w:r>
      <w:r w:rsidRPr="005351EF">
        <w:rPr>
          <w:rFonts w:ascii="Times New Roman" w:eastAsia="Times New Roman" w:hAnsi="Times New Roman" w:cs="Times New Roman"/>
          <w:kern w:val="0"/>
          <w:lang w:eastAsia="es-ES_tradnl"/>
          <w14:ligatures w14:val="none"/>
        </w:rPr>
        <w:t>, de modo que los datos solo puedan utilizarse para los proyectos de investigación previamente autorizados, con prohibición expresa de usos secundarios no evaluados.</w:t>
      </w:r>
    </w:p>
    <w:p w14:paraId="66483BE6" w14:textId="77777777" w:rsidR="005351EF" w:rsidRPr="005351EF" w:rsidRDefault="005351EF" w:rsidP="005351EF">
      <w:pPr>
        <w:spacing w:before="100" w:beforeAutospacing="1" w:after="100" w:afterAutospacing="1"/>
        <w:jc w:val="both"/>
        <w:rPr>
          <w:rFonts w:ascii="Times New Roman" w:eastAsia="Times New Roman" w:hAnsi="Times New Roman" w:cs="Times New Roman"/>
          <w:kern w:val="0"/>
          <w:lang w:eastAsia="es-ES_tradnl"/>
          <w14:ligatures w14:val="none"/>
        </w:rPr>
      </w:pPr>
      <w:r w:rsidRPr="005351EF">
        <w:rPr>
          <w:rFonts w:ascii="Times New Roman" w:eastAsia="Times New Roman" w:hAnsi="Times New Roman" w:cs="Times New Roman"/>
          <w:kern w:val="0"/>
          <w:lang w:eastAsia="es-ES_tradnl"/>
          <w14:ligatures w14:val="none"/>
        </w:rPr>
        <w:t xml:space="preserve">Resulta igualmente imprescindible la </w:t>
      </w:r>
      <w:r w:rsidRPr="00A60BDC">
        <w:rPr>
          <w:rFonts w:ascii="Times New Roman" w:eastAsia="Times New Roman" w:hAnsi="Times New Roman" w:cs="Times New Roman"/>
          <w:kern w:val="0"/>
          <w:lang w:eastAsia="es-ES_tradnl"/>
          <w14:ligatures w14:val="none"/>
        </w:rPr>
        <w:t xml:space="preserve">aplicación sistemática de técnicas de </w:t>
      </w:r>
      <w:proofErr w:type="spellStart"/>
      <w:r w:rsidRPr="00A60BDC">
        <w:rPr>
          <w:rFonts w:ascii="Times New Roman" w:eastAsia="Times New Roman" w:hAnsi="Times New Roman" w:cs="Times New Roman"/>
          <w:kern w:val="0"/>
          <w:lang w:eastAsia="es-ES_tradnl"/>
          <w14:ligatures w14:val="none"/>
        </w:rPr>
        <w:t>seudonimización</w:t>
      </w:r>
      <w:proofErr w:type="spellEnd"/>
      <w:r w:rsidRPr="00A60BDC">
        <w:rPr>
          <w:rFonts w:ascii="Times New Roman" w:eastAsia="Times New Roman" w:hAnsi="Times New Roman" w:cs="Times New Roman"/>
          <w:kern w:val="0"/>
          <w:lang w:eastAsia="es-ES_tradnl"/>
          <w14:ligatures w14:val="none"/>
        </w:rPr>
        <w:t xml:space="preserve"> o, cuando sea posible, de </w:t>
      </w:r>
      <w:proofErr w:type="spellStart"/>
      <w:r w:rsidRPr="00A60BDC">
        <w:rPr>
          <w:rFonts w:ascii="Times New Roman" w:eastAsia="Times New Roman" w:hAnsi="Times New Roman" w:cs="Times New Roman"/>
          <w:kern w:val="0"/>
          <w:lang w:eastAsia="es-ES_tradnl"/>
          <w14:ligatures w14:val="none"/>
        </w:rPr>
        <w:t>anonimización</w:t>
      </w:r>
      <w:proofErr w:type="spellEnd"/>
      <w:r w:rsidRPr="005351EF">
        <w:rPr>
          <w:rFonts w:ascii="Times New Roman" w:eastAsia="Times New Roman" w:hAnsi="Times New Roman" w:cs="Times New Roman"/>
          <w:kern w:val="0"/>
          <w:lang w:eastAsia="es-ES_tradnl"/>
          <w14:ligatures w14:val="none"/>
        </w:rPr>
        <w:t xml:space="preserve">, adaptadas a la naturaleza de los datos y a los riesgos específicos del tratamiento. Estas técnicas deben ir acompañadas de medidas que impidan la </w:t>
      </w:r>
      <w:proofErr w:type="spellStart"/>
      <w:r w:rsidRPr="005351EF">
        <w:rPr>
          <w:rFonts w:ascii="Times New Roman" w:eastAsia="Times New Roman" w:hAnsi="Times New Roman" w:cs="Times New Roman"/>
          <w:kern w:val="0"/>
          <w:lang w:eastAsia="es-ES_tradnl"/>
          <w14:ligatures w14:val="none"/>
        </w:rPr>
        <w:t>reidentificación</w:t>
      </w:r>
      <w:proofErr w:type="spellEnd"/>
      <w:r w:rsidRPr="005351EF">
        <w:rPr>
          <w:rFonts w:ascii="Times New Roman" w:eastAsia="Times New Roman" w:hAnsi="Times New Roman" w:cs="Times New Roman"/>
          <w:kern w:val="0"/>
          <w:lang w:eastAsia="es-ES_tradnl"/>
          <w14:ligatures w14:val="none"/>
        </w:rPr>
        <w:t xml:space="preserve"> de las personas afectadas y de controles efectivos sobre los entornos en los que se tratan los datos. La experiencia demuestra que la eficacia de estas salvaguardas depende tanto de su diseño técnico como de la existencia de obligaciones claras y verificables para los investigadores y las entidades que acceden a la información sanitaria.</w:t>
      </w:r>
    </w:p>
    <w:p w14:paraId="7C2EC3FD" w14:textId="423E8229" w:rsidR="005351EF" w:rsidRPr="005351EF" w:rsidRDefault="005351EF" w:rsidP="005351EF">
      <w:pPr>
        <w:spacing w:before="100" w:beforeAutospacing="1" w:after="100" w:afterAutospacing="1"/>
        <w:jc w:val="both"/>
        <w:rPr>
          <w:rFonts w:ascii="Times New Roman" w:eastAsia="Times New Roman" w:hAnsi="Times New Roman" w:cs="Times New Roman"/>
          <w:kern w:val="0"/>
          <w:lang w:eastAsia="es-ES_tradnl"/>
          <w14:ligatures w14:val="none"/>
        </w:rPr>
      </w:pPr>
      <w:r w:rsidRPr="005351EF">
        <w:rPr>
          <w:rFonts w:ascii="Times New Roman" w:eastAsia="Times New Roman" w:hAnsi="Times New Roman" w:cs="Times New Roman"/>
          <w:kern w:val="0"/>
          <w:lang w:eastAsia="es-ES_tradnl"/>
          <w14:ligatures w14:val="none"/>
        </w:rPr>
        <w:t xml:space="preserve">A estas medidas se suma la importancia de establecer </w:t>
      </w:r>
      <w:r w:rsidRPr="00A60BDC">
        <w:rPr>
          <w:rFonts w:ascii="Times New Roman" w:eastAsia="Times New Roman" w:hAnsi="Times New Roman" w:cs="Times New Roman"/>
          <w:kern w:val="0"/>
          <w:lang w:eastAsia="es-ES_tradnl"/>
          <w14:ligatures w14:val="none"/>
        </w:rPr>
        <w:t>procedimientos de autorización previos basados en evaluaciones sustantivas</w:t>
      </w:r>
      <w:r w:rsidRPr="005351EF">
        <w:rPr>
          <w:rFonts w:ascii="Times New Roman" w:eastAsia="Times New Roman" w:hAnsi="Times New Roman" w:cs="Times New Roman"/>
          <w:kern w:val="0"/>
          <w:lang w:eastAsia="es-ES_tradnl"/>
          <w14:ligatures w14:val="none"/>
        </w:rPr>
        <w:t>, que valoren no solo la licitud formal del tratamiento, sino también su necesidad, proporcionalidad e impacto potencial sobre los derechos de las personas afectadas. La intervención de autoridades de acceso especializadas y de comités de ética de la investigación introduce un control ex ante que contribuye de forma significativa a reducir el riesgo de tratamientos desproporcionados o incompatibles con los fines declarados, tal como ha puesto de relieve la doctrina y las autoridades europeas de protección de datos</w:t>
      </w:r>
      <w:r>
        <w:rPr>
          <w:rStyle w:val="Refdenotaalpie"/>
          <w:rFonts w:ascii="Times New Roman" w:eastAsia="Times New Roman" w:hAnsi="Times New Roman" w:cs="Times New Roman"/>
          <w:kern w:val="0"/>
          <w:lang w:eastAsia="es-ES_tradnl"/>
          <w14:ligatures w14:val="none"/>
        </w:rPr>
        <w:footnoteReference w:id="15"/>
      </w:r>
      <w:r w:rsidRPr="005351EF">
        <w:rPr>
          <w:rFonts w:ascii="Times New Roman" w:eastAsia="Times New Roman" w:hAnsi="Times New Roman" w:cs="Times New Roman"/>
          <w:kern w:val="0"/>
          <w:lang w:eastAsia="es-ES_tradnl"/>
          <w14:ligatures w14:val="none"/>
        </w:rPr>
        <w:t>.</w:t>
      </w:r>
    </w:p>
    <w:p w14:paraId="2921AE28" w14:textId="77777777" w:rsidR="005351EF" w:rsidRPr="005351EF" w:rsidRDefault="005351EF" w:rsidP="005351EF">
      <w:pPr>
        <w:spacing w:before="100" w:beforeAutospacing="1" w:after="100" w:afterAutospacing="1"/>
        <w:jc w:val="both"/>
        <w:rPr>
          <w:rFonts w:ascii="Times New Roman" w:eastAsia="Times New Roman" w:hAnsi="Times New Roman" w:cs="Times New Roman"/>
          <w:kern w:val="0"/>
          <w:lang w:eastAsia="es-ES_tradnl"/>
          <w14:ligatures w14:val="none"/>
        </w:rPr>
      </w:pPr>
      <w:r w:rsidRPr="005351EF">
        <w:rPr>
          <w:rFonts w:ascii="Times New Roman" w:eastAsia="Times New Roman" w:hAnsi="Times New Roman" w:cs="Times New Roman"/>
          <w:kern w:val="0"/>
          <w:lang w:eastAsia="es-ES_tradnl"/>
          <w14:ligatures w14:val="none"/>
        </w:rPr>
        <w:t xml:space="preserve">Finalmente, la protección efectiva de los datos personales de salud exige garantizar la </w:t>
      </w:r>
      <w:r w:rsidRPr="00A60BDC">
        <w:rPr>
          <w:rFonts w:ascii="Times New Roman" w:eastAsia="Times New Roman" w:hAnsi="Times New Roman" w:cs="Times New Roman"/>
          <w:kern w:val="0"/>
          <w:lang w:eastAsia="es-ES_tradnl"/>
          <w14:ligatures w14:val="none"/>
        </w:rPr>
        <w:t>trazabilidad de los accesos y usos de la información</w:t>
      </w:r>
      <w:r w:rsidRPr="005351EF">
        <w:rPr>
          <w:rFonts w:ascii="Times New Roman" w:eastAsia="Times New Roman" w:hAnsi="Times New Roman" w:cs="Times New Roman"/>
          <w:kern w:val="0"/>
          <w:lang w:eastAsia="es-ES_tradnl"/>
          <w14:ligatures w14:val="none"/>
        </w:rPr>
        <w:t xml:space="preserve">, así como la documentación de las decisiones adoptadas y la existencia de mecanismos de supervisión y, en su caso, de sanción frente a posibles incumplimientos. La previsión de estos controles no solo refuerza la protección jurídica de los interesados, sino que contribuye a generar un clima </w:t>
      </w:r>
      <w:r w:rsidRPr="005351EF">
        <w:rPr>
          <w:rFonts w:ascii="Times New Roman" w:eastAsia="Times New Roman" w:hAnsi="Times New Roman" w:cs="Times New Roman"/>
          <w:kern w:val="0"/>
          <w:lang w:eastAsia="es-ES_tradnl"/>
          <w14:ligatures w14:val="none"/>
        </w:rPr>
        <w:lastRenderedPageBreak/>
        <w:t>de confianza en torno a la reutilización de los datos sanitarios, elemento indispensable para la legitimidad y sostenibilidad del sistema.</w:t>
      </w:r>
    </w:p>
    <w:p w14:paraId="5F2998B8" w14:textId="5BB3A597" w:rsidR="000E04F8" w:rsidRPr="004E6A9E" w:rsidRDefault="00112DFF" w:rsidP="005351EF">
      <w:pPr>
        <w:spacing w:before="100" w:beforeAutospacing="1" w:after="100" w:afterAutospacing="1"/>
        <w:jc w:val="both"/>
        <w:rPr>
          <w:rFonts w:ascii="Times New Roman" w:eastAsia="Times New Roman" w:hAnsi="Times New Roman" w:cs="Times New Roman"/>
          <w:kern w:val="0"/>
          <w:lang w:eastAsia="es-ES_tradnl"/>
          <w14:ligatures w14:val="none"/>
        </w:rPr>
      </w:pPr>
      <w:r>
        <w:rPr>
          <w:rFonts w:ascii="Times New Roman" w:eastAsia="Times New Roman" w:hAnsi="Times New Roman" w:cs="Times New Roman"/>
          <w:kern w:val="0"/>
          <w:lang w:eastAsia="es-ES_tradnl"/>
          <w14:ligatures w14:val="none"/>
        </w:rPr>
        <w:t>A la luz de lo expuesto</w:t>
      </w:r>
      <w:r w:rsidR="005351EF" w:rsidRPr="005351EF">
        <w:rPr>
          <w:rFonts w:ascii="Times New Roman" w:eastAsia="Times New Roman" w:hAnsi="Times New Roman" w:cs="Times New Roman"/>
          <w:kern w:val="0"/>
          <w:lang w:eastAsia="es-ES_tradnl"/>
          <w14:ligatures w14:val="none"/>
        </w:rPr>
        <w:t xml:space="preserve">, el </w:t>
      </w:r>
      <w:r w:rsidR="00FD6A01">
        <w:t xml:space="preserve">EEDS </w:t>
      </w:r>
      <w:r w:rsidR="005351EF" w:rsidRPr="005351EF">
        <w:rPr>
          <w:rFonts w:ascii="Times New Roman" w:eastAsia="Times New Roman" w:hAnsi="Times New Roman" w:cs="Times New Roman"/>
          <w:kern w:val="0"/>
          <w:lang w:eastAsia="es-ES_tradnl"/>
          <w14:ligatures w14:val="none"/>
        </w:rPr>
        <w:t xml:space="preserve">puede contribuir de manera decisiva a la mejora de la investigación científica en Europa si se concibe no como un mero instrumento de apertura de datos, sino como un sistema estructurado de acceso controlado. La combinación de un acceso amplio para fines de investigación legítimos con garantías técnicas, organizativas y jurídicas efectivas </w:t>
      </w:r>
      <w:r w:rsidR="004E6A9E" w:rsidRPr="004E6A9E">
        <w:rPr>
          <w:rFonts w:ascii="Times New Roman" w:eastAsia="Times New Roman" w:hAnsi="Times New Roman" w:cs="Times New Roman" w:hint="cs"/>
          <w:kern w:val="0"/>
          <w:lang w:eastAsia="es-ES_tradnl"/>
          <w14:ligatures w14:val="none"/>
        </w:rPr>
        <w:t>f</w:t>
      </w:r>
      <w:r w:rsidR="004E6A9E" w:rsidRPr="004E6A9E">
        <w:rPr>
          <w:rFonts w:ascii="Times New Roman" w:hAnsi="Times New Roman" w:cs="Times New Roman" w:hint="cs"/>
        </w:rPr>
        <w:t>acilita el aprovechamiento del valor científico de los datos de salud, sin comprometer la protección de los derechos fundamentales.</w:t>
      </w:r>
    </w:p>
    <w:p w14:paraId="36F3EF4E" w14:textId="03798318" w:rsidR="005351EF" w:rsidRDefault="003B3D5C" w:rsidP="003B3D5C">
      <w:pPr>
        <w:jc w:val="both"/>
        <w:rPr>
          <w:rFonts w:ascii="Times New Roman" w:hAnsi="Times New Roman" w:cs="Times New Roman"/>
        </w:rPr>
      </w:pPr>
      <w:r w:rsidRPr="003B3D5C">
        <w:rPr>
          <w:rFonts w:ascii="Times New Roman" w:hAnsi="Times New Roman" w:cs="Times New Roman" w:hint="cs"/>
        </w:rPr>
        <w:t>Las cuestiones apuntadas permiten extraer algunas conclusiones generales sobre el modo en que el Derecho de la protección de datos puede seguir acompañando, sin bloquearla, la investigación en el ámbito sanitario, en un contexto marcado por la creciente reutilización de la información y por la necesidad de reforzar la confianza en las instituciones encargadas de su control.</w:t>
      </w:r>
    </w:p>
    <w:p w14:paraId="25FA114A" w14:textId="77777777" w:rsidR="00DB1208" w:rsidRDefault="00DB1208" w:rsidP="003B3D5C">
      <w:pPr>
        <w:jc w:val="both"/>
        <w:rPr>
          <w:rFonts w:ascii="Times New Roman" w:hAnsi="Times New Roman" w:cs="Times New Roman"/>
        </w:rPr>
      </w:pPr>
    </w:p>
    <w:p w14:paraId="1B8EB016" w14:textId="77777777" w:rsidR="00DB1208" w:rsidRPr="00DB1208" w:rsidRDefault="00DB1208" w:rsidP="00DB1208">
      <w:pPr>
        <w:spacing w:before="100" w:beforeAutospacing="1" w:after="100" w:afterAutospacing="1"/>
        <w:outlineLvl w:val="1"/>
        <w:rPr>
          <w:rFonts w:ascii="Times New Roman" w:eastAsia="Times New Roman" w:hAnsi="Times New Roman" w:cs="Times New Roman"/>
          <w:b/>
          <w:bCs/>
          <w:kern w:val="0"/>
          <w:sz w:val="28"/>
          <w:szCs w:val="28"/>
          <w:lang w:eastAsia="es-ES_tradnl"/>
          <w14:ligatures w14:val="none"/>
        </w:rPr>
      </w:pPr>
      <w:r w:rsidRPr="00DB1208">
        <w:rPr>
          <w:rFonts w:ascii="Times New Roman" w:eastAsia="Times New Roman" w:hAnsi="Times New Roman" w:cs="Times New Roman"/>
          <w:b/>
          <w:bCs/>
          <w:kern w:val="0"/>
          <w:sz w:val="28"/>
          <w:szCs w:val="28"/>
          <w:lang w:eastAsia="es-ES_tradnl"/>
          <w14:ligatures w14:val="none"/>
        </w:rPr>
        <w:t>Conclusiones</w:t>
      </w:r>
    </w:p>
    <w:p w14:paraId="4C05F71C" w14:textId="77777777" w:rsidR="00DB1208" w:rsidRPr="00DB1208" w:rsidRDefault="00DB1208" w:rsidP="00DB1208">
      <w:pPr>
        <w:spacing w:before="100" w:beforeAutospacing="1" w:after="100" w:afterAutospacing="1"/>
        <w:jc w:val="both"/>
        <w:rPr>
          <w:rFonts w:ascii="Times New Roman" w:eastAsia="Times New Roman" w:hAnsi="Times New Roman" w:cs="Times New Roman"/>
          <w:kern w:val="0"/>
          <w:lang w:eastAsia="es-ES_tradnl"/>
          <w14:ligatures w14:val="none"/>
        </w:rPr>
      </w:pPr>
      <w:r w:rsidRPr="00DB1208">
        <w:rPr>
          <w:rFonts w:ascii="Times New Roman" w:eastAsia="Times New Roman" w:hAnsi="Times New Roman" w:cs="Times New Roman"/>
          <w:kern w:val="0"/>
          <w:lang w:eastAsia="es-ES_tradnl"/>
          <w14:ligatures w14:val="none"/>
        </w:rPr>
        <w:t>El análisis realizado confirma que el régimen jurídico de los datos de salud en el RGPD se articula sobre una protección reforzada plenamente justificada por la especial sensibilidad de esta categoría de datos personales. La concepción amplia y funcional del concepto de datos de salud, junto con su inclusión entre las categorías especiales del artículo 9 RGPD, permite ofrecer una tutela intensa de los derechos fundamentales de las personas. Sin embargo, esta opción normativa no está exenta de tensiones, especialmente cuando el tratamiento de los datos se vincula a finalidades de investigación científica, a la reutilización secundaria de la información sanitaria o a tratamientos de carácter masivo y transfronterizo.</w:t>
      </w:r>
    </w:p>
    <w:p w14:paraId="1BE5D314" w14:textId="77777777" w:rsidR="00DB1208" w:rsidRPr="00DB1208" w:rsidRDefault="00DB1208" w:rsidP="00DB1208">
      <w:pPr>
        <w:spacing w:before="100" w:beforeAutospacing="1" w:after="100" w:afterAutospacing="1"/>
        <w:jc w:val="both"/>
        <w:rPr>
          <w:rFonts w:ascii="Times New Roman" w:eastAsia="Times New Roman" w:hAnsi="Times New Roman" w:cs="Times New Roman"/>
          <w:kern w:val="0"/>
          <w:lang w:eastAsia="es-ES_tradnl"/>
          <w14:ligatures w14:val="none"/>
        </w:rPr>
      </w:pPr>
      <w:r w:rsidRPr="00DB1208">
        <w:rPr>
          <w:rFonts w:ascii="Times New Roman" w:eastAsia="Times New Roman" w:hAnsi="Times New Roman" w:cs="Times New Roman"/>
          <w:kern w:val="0"/>
          <w:lang w:eastAsia="es-ES_tradnl"/>
          <w14:ligatures w14:val="none"/>
        </w:rPr>
        <w:t>El sistema de prohibición general y excepciones tasadas del RGPD responde a una lógica preventiva y garantista adecuada al ámbito sanitario. No obstante, el trabajo pone de relieve que una interpretación excesivamente rígida de las bases legitimadoras —y, en particular, del consentimiento— puede generar efectos disfuncionales. El consentimiento individual, aun siendo una garantía relevante, no siempre constituye un instrumento eficaz ni suficiente para legitimar tratamientos complejos de datos de salud, especialmente cuando se trata de reutilizar información previamente recogida en contextos asistenciales o de investigación.</w:t>
      </w:r>
    </w:p>
    <w:p w14:paraId="5ADF5AF0" w14:textId="7F35E802" w:rsidR="00DB1208" w:rsidRPr="00DB1208" w:rsidRDefault="00DB1208" w:rsidP="00DB1208">
      <w:pPr>
        <w:spacing w:before="100" w:beforeAutospacing="1" w:after="100" w:afterAutospacing="1"/>
        <w:jc w:val="both"/>
        <w:rPr>
          <w:rFonts w:ascii="Times New Roman" w:eastAsia="Times New Roman" w:hAnsi="Times New Roman" w:cs="Times New Roman"/>
          <w:kern w:val="0"/>
          <w:lang w:eastAsia="es-ES_tradnl"/>
          <w14:ligatures w14:val="none"/>
        </w:rPr>
      </w:pPr>
      <w:r w:rsidRPr="00DB1208">
        <w:rPr>
          <w:rFonts w:ascii="Times New Roman" w:eastAsia="Times New Roman" w:hAnsi="Times New Roman" w:cs="Times New Roman"/>
          <w:kern w:val="0"/>
          <w:lang w:eastAsia="es-ES_tradnl"/>
          <w14:ligatures w14:val="none"/>
        </w:rPr>
        <w:t>En este marco, la iniciativa del EEDS representa una evolución significativa del sistema europeo de protección de datos, al introducir un modelo orientado a facilitar el acceso controlado y la reutilización de los datos de salud con fines legítimos, en particular la investigación científica y la innovación. Su principal aportación radica en desplazar el foco desde soluciones puramente individuales hacia estructuras institucionales de autorización y supervisión, capaces de canalizar el acceso a la información sanitaria de forma ordenada y transparente.</w:t>
      </w:r>
    </w:p>
    <w:p w14:paraId="45B09DA0" w14:textId="77777777" w:rsidR="00DB1208" w:rsidRPr="00DB1208" w:rsidRDefault="00DB1208" w:rsidP="00DB1208">
      <w:pPr>
        <w:spacing w:before="100" w:beforeAutospacing="1" w:after="100" w:afterAutospacing="1"/>
        <w:jc w:val="both"/>
        <w:rPr>
          <w:rFonts w:ascii="Times New Roman" w:eastAsia="Times New Roman" w:hAnsi="Times New Roman" w:cs="Times New Roman"/>
          <w:kern w:val="0"/>
          <w:lang w:eastAsia="es-ES_tradnl"/>
          <w14:ligatures w14:val="none"/>
        </w:rPr>
      </w:pPr>
      <w:r w:rsidRPr="00DB1208">
        <w:rPr>
          <w:rFonts w:ascii="Times New Roman" w:eastAsia="Times New Roman" w:hAnsi="Times New Roman" w:cs="Times New Roman"/>
          <w:kern w:val="0"/>
          <w:lang w:eastAsia="es-ES_tradnl"/>
          <w14:ligatures w14:val="none"/>
        </w:rPr>
        <w:t xml:space="preserve">Desde la perspectiva del derecho interno, la disposición adicional decimoséptima de la LOPDGDD ofrece una referencia especialmente valiosa. Su acierto consiste en haber superado una concepción formalista del consentimiento como requisito ineludible, permitiendo el tratamiento de datos de salud con fines de investigación dentro del mismo </w:t>
      </w:r>
      <w:r w:rsidRPr="00DB1208">
        <w:rPr>
          <w:rFonts w:ascii="Times New Roman" w:eastAsia="Times New Roman" w:hAnsi="Times New Roman" w:cs="Times New Roman"/>
          <w:kern w:val="0"/>
          <w:lang w:eastAsia="es-ES_tradnl"/>
          <w14:ligatures w14:val="none"/>
        </w:rPr>
        <w:lastRenderedPageBreak/>
        <w:t xml:space="preserve">ámbito o campo científico cuando concurren garantías adecuadas. Este enfoque pone de manifiesto que la protección efectiva de los derechos fundamentales puede alcanzarse mediante salvaguardas sustantivas, como la </w:t>
      </w:r>
      <w:proofErr w:type="spellStart"/>
      <w:r w:rsidRPr="00DB1208">
        <w:rPr>
          <w:rFonts w:ascii="Times New Roman" w:eastAsia="Times New Roman" w:hAnsi="Times New Roman" w:cs="Times New Roman"/>
          <w:kern w:val="0"/>
          <w:lang w:eastAsia="es-ES_tradnl"/>
          <w14:ligatures w14:val="none"/>
        </w:rPr>
        <w:t>seudonimización</w:t>
      </w:r>
      <w:proofErr w:type="spellEnd"/>
      <w:r w:rsidRPr="00DB1208">
        <w:rPr>
          <w:rFonts w:ascii="Times New Roman" w:eastAsia="Times New Roman" w:hAnsi="Times New Roman" w:cs="Times New Roman"/>
          <w:kern w:val="0"/>
          <w:lang w:eastAsia="es-ES_tradnl"/>
          <w14:ligatures w14:val="none"/>
        </w:rPr>
        <w:t>, la evaluación previa por comités de ética de la investigación y la delimitación estricta de los accesos, sin necesidad de bloquear el desarrollo de la investigación científica.</w:t>
      </w:r>
    </w:p>
    <w:p w14:paraId="239BE74E" w14:textId="77777777" w:rsidR="00DB1208" w:rsidRPr="00DB1208" w:rsidRDefault="00DB1208" w:rsidP="00DB1208">
      <w:pPr>
        <w:spacing w:before="100" w:beforeAutospacing="1" w:after="100" w:afterAutospacing="1"/>
        <w:jc w:val="both"/>
        <w:rPr>
          <w:rFonts w:ascii="Times New Roman" w:eastAsia="Times New Roman" w:hAnsi="Times New Roman" w:cs="Times New Roman"/>
          <w:kern w:val="0"/>
          <w:lang w:eastAsia="es-ES_tradnl"/>
          <w14:ligatures w14:val="none"/>
        </w:rPr>
      </w:pPr>
      <w:r w:rsidRPr="00DB1208">
        <w:rPr>
          <w:rFonts w:ascii="Times New Roman" w:eastAsia="Times New Roman" w:hAnsi="Times New Roman" w:cs="Times New Roman"/>
          <w:kern w:val="0"/>
          <w:lang w:eastAsia="es-ES_tradnl"/>
          <w14:ligatures w14:val="none"/>
        </w:rPr>
        <w:t>Ahora bien, el análisis realizado permite identificar una serie de líneas de mejora concretas, partiendo de una premisa esencial: la reutilización de datos de salud solo es legítima en la medida en que se mantenga, en todo caso, un nivel elevado de tutela de los datos personales y de los derechos fundamentales de las personas afectadas. La investigación científica no constituye un ámbito exento de garantías, sino un contexto en el que estas deben aplicarse con especial intensidad.</w:t>
      </w:r>
    </w:p>
    <w:p w14:paraId="2F056F8F" w14:textId="77777777" w:rsidR="00DB1208" w:rsidRPr="00DB1208" w:rsidRDefault="00DB1208" w:rsidP="00DB1208">
      <w:pPr>
        <w:spacing w:before="100" w:beforeAutospacing="1" w:after="100" w:afterAutospacing="1"/>
        <w:jc w:val="both"/>
        <w:rPr>
          <w:rFonts w:ascii="Times New Roman" w:eastAsia="Times New Roman" w:hAnsi="Times New Roman" w:cs="Times New Roman"/>
          <w:kern w:val="0"/>
          <w:lang w:eastAsia="es-ES_tradnl"/>
          <w14:ligatures w14:val="none"/>
        </w:rPr>
      </w:pPr>
      <w:r w:rsidRPr="00DB1208">
        <w:rPr>
          <w:rFonts w:ascii="Times New Roman" w:eastAsia="Times New Roman" w:hAnsi="Times New Roman" w:cs="Times New Roman"/>
          <w:kern w:val="0"/>
          <w:lang w:eastAsia="es-ES_tradnl"/>
          <w14:ligatures w14:val="none"/>
        </w:rPr>
        <w:t>En primer lugar, resulta necesario clarificar normativamente el papel del consentimiento en los tratamientos de datos de salud con fines de investigación, evitando que se configure como una exigencia automática o meramente formal, pero también que se vea desplazado sin la concurrencia de salvaguardas efectivas. En los supuestos de reutilización de datos previamente recogidos, el consentimiento debe concebirse como una de las posibles bases legitimadoras, pero no como la única ni necesariamente la preferente, siempre que se garantice un nivel de protección equivalente o superior mediante mecanismos alternativos.</w:t>
      </w:r>
    </w:p>
    <w:p w14:paraId="7E957AB7" w14:textId="77777777" w:rsidR="00DB1208" w:rsidRPr="00DB1208" w:rsidRDefault="00DB1208" w:rsidP="00DB1208">
      <w:pPr>
        <w:spacing w:before="100" w:beforeAutospacing="1" w:after="100" w:afterAutospacing="1"/>
        <w:jc w:val="both"/>
        <w:rPr>
          <w:rFonts w:ascii="Times New Roman" w:eastAsia="Times New Roman" w:hAnsi="Times New Roman" w:cs="Times New Roman"/>
          <w:kern w:val="0"/>
          <w:lang w:eastAsia="es-ES_tradnl"/>
          <w14:ligatures w14:val="none"/>
        </w:rPr>
      </w:pPr>
      <w:r w:rsidRPr="00DB1208">
        <w:rPr>
          <w:rFonts w:ascii="Times New Roman" w:eastAsia="Times New Roman" w:hAnsi="Times New Roman" w:cs="Times New Roman"/>
          <w:kern w:val="0"/>
          <w:lang w:eastAsia="es-ES_tradnl"/>
          <w14:ligatures w14:val="none"/>
        </w:rPr>
        <w:t>En segundo lugar, se revela especialmente pertinente avanzar hacia un modelo de consentimiento contextualizado y no reiterativo, que permita valorar la compatibilidad de finalidades cuando la investigación se desarrolla dentro del mismo ámbito científico o sanitario. Este enfoque, ya presente en la disposición adicional decimoséptima de la LOPDGDD, podría reforzarse mediante criterios más precisos sobre qué debe entenderse por “mismo campo de investigación”, reduciendo la inseguridad jurídica sin debilitar las garantías sustantivas de protección de los datos personales.</w:t>
      </w:r>
    </w:p>
    <w:p w14:paraId="4791C068" w14:textId="77777777" w:rsidR="00DB1208" w:rsidRPr="00DB1208" w:rsidRDefault="00DB1208" w:rsidP="00DB1208">
      <w:pPr>
        <w:spacing w:before="100" w:beforeAutospacing="1" w:after="100" w:afterAutospacing="1"/>
        <w:jc w:val="both"/>
        <w:rPr>
          <w:rFonts w:ascii="Times New Roman" w:eastAsia="Times New Roman" w:hAnsi="Times New Roman" w:cs="Times New Roman"/>
          <w:kern w:val="0"/>
          <w:lang w:eastAsia="es-ES_tradnl"/>
          <w14:ligatures w14:val="none"/>
        </w:rPr>
      </w:pPr>
      <w:r w:rsidRPr="00DB1208">
        <w:rPr>
          <w:rFonts w:ascii="Times New Roman" w:eastAsia="Times New Roman" w:hAnsi="Times New Roman" w:cs="Times New Roman"/>
          <w:kern w:val="0"/>
          <w:lang w:eastAsia="es-ES_tradnl"/>
          <w14:ligatures w14:val="none"/>
        </w:rPr>
        <w:t>En tercer lugar, el desplazamiento parcial del consentimiento como eje central de legitimación exige un refuerzo correlativo de los controles institucionales y de las garantías materiales del tratamiento. La autorización previa de los tratamientos de datos de salud con fines de investigación debe basarse en evaluaciones sustantivas que ponderen expresamente la necesidad, la proporcionalidad y el impacto del tratamiento sobre los derechos de las personas afectadas. La intervención de comités de ética de la investigación y de autoridades de acceso especializadas constituye, en este sentido, un contrapeso imprescindible para asegurar que la investigación se desarrolle dentro de límites compatibles con la protección de los datos personales.</w:t>
      </w:r>
    </w:p>
    <w:p w14:paraId="3D8F2E46" w14:textId="77777777" w:rsidR="00DB1208" w:rsidRPr="00DB1208" w:rsidRDefault="00DB1208" w:rsidP="00DB1208">
      <w:pPr>
        <w:spacing w:before="100" w:beforeAutospacing="1" w:after="100" w:afterAutospacing="1"/>
        <w:jc w:val="both"/>
        <w:rPr>
          <w:rFonts w:ascii="Times New Roman" w:eastAsia="Times New Roman" w:hAnsi="Times New Roman" w:cs="Times New Roman"/>
          <w:kern w:val="0"/>
          <w:lang w:eastAsia="es-ES_tradnl"/>
          <w14:ligatures w14:val="none"/>
        </w:rPr>
      </w:pPr>
      <w:r w:rsidRPr="00DB1208">
        <w:rPr>
          <w:rFonts w:ascii="Times New Roman" w:eastAsia="Times New Roman" w:hAnsi="Times New Roman" w:cs="Times New Roman"/>
          <w:kern w:val="0"/>
          <w:lang w:eastAsia="es-ES_tradnl"/>
          <w14:ligatures w14:val="none"/>
        </w:rPr>
        <w:t xml:space="preserve">Asimismo, el equilibrio entre consentimiento e investigación requiere consolidar un enfoque basado en garantías técnicas reforzadas, como la aplicación sistemática de técnicas de </w:t>
      </w:r>
      <w:proofErr w:type="spellStart"/>
      <w:r w:rsidRPr="00DB1208">
        <w:rPr>
          <w:rFonts w:ascii="Times New Roman" w:eastAsia="Times New Roman" w:hAnsi="Times New Roman" w:cs="Times New Roman"/>
          <w:kern w:val="0"/>
          <w:lang w:eastAsia="es-ES_tradnl"/>
          <w14:ligatures w14:val="none"/>
        </w:rPr>
        <w:t>seudonimización</w:t>
      </w:r>
      <w:proofErr w:type="spellEnd"/>
      <w:r w:rsidRPr="00DB1208">
        <w:rPr>
          <w:rFonts w:ascii="Times New Roman" w:eastAsia="Times New Roman" w:hAnsi="Times New Roman" w:cs="Times New Roman"/>
          <w:kern w:val="0"/>
          <w:lang w:eastAsia="es-ES_tradnl"/>
          <w14:ligatures w14:val="none"/>
        </w:rPr>
        <w:t xml:space="preserve"> o </w:t>
      </w:r>
      <w:proofErr w:type="spellStart"/>
      <w:r w:rsidRPr="00DB1208">
        <w:rPr>
          <w:rFonts w:ascii="Times New Roman" w:eastAsia="Times New Roman" w:hAnsi="Times New Roman" w:cs="Times New Roman"/>
          <w:kern w:val="0"/>
          <w:lang w:eastAsia="es-ES_tradnl"/>
          <w14:ligatures w14:val="none"/>
        </w:rPr>
        <w:t>anonimización</w:t>
      </w:r>
      <w:proofErr w:type="spellEnd"/>
      <w:r w:rsidRPr="00DB1208">
        <w:rPr>
          <w:rFonts w:ascii="Times New Roman" w:eastAsia="Times New Roman" w:hAnsi="Times New Roman" w:cs="Times New Roman"/>
          <w:kern w:val="0"/>
          <w:lang w:eastAsia="es-ES_tradnl"/>
          <w14:ligatures w14:val="none"/>
        </w:rPr>
        <w:t xml:space="preserve">, la restricción estricta de los accesos a los datos, el uso de entornos seguros de tratamiento y la prohibición efectiva de la </w:t>
      </w:r>
      <w:proofErr w:type="spellStart"/>
      <w:r w:rsidRPr="00DB1208">
        <w:rPr>
          <w:rFonts w:ascii="Times New Roman" w:eastAsia="Times New Roman" w:hAnsi="Times New Roman" w:cs="Times New Roman"/>
          <w:kern w:val="0"/>
          <w:lang w:eastAsia="es-ES_tradnl"/>
          <w14:ligatures w14:val="none"/>
        </w:rPr>
        <w:t>reidentificación</w:t>
      </w:r>
      <w:proofErr w:type="spellEnd"/>
      <w:r w:rsidRPr="00DB1208">
        <w:rPr>
          <w:rFonts w:ascii="Times New Roman" w:eastAsia="Times New Roman" w:hAnsi="Times New Roman" w:cs="Times New Roman"/>
          <w:kern w:val="0"/>
          <w:lang w:eastAsia="es-ES_tradnl"/>
          <w14:ligatures w14:val="none"/>
        </w:rPr>
        <w:t xml:space="preserve">. Estas medidas deben entenderse como </w:t>
      </w:r>
      <w:r w:rsidRPr="00A60BDC">
        <w:rPr>
          <w:rFonts w:ascii="Times New Roman" w:eastAsia="Times New Roman" w:hAnsi="Times New Roman" w:cs="Times New Roman"/>
          <w:kern w:val="0"/>
          <w:lang w:eastAsia="es-ES_tradnl"/>
          <w14:ligatures w14:val="none"/>
        </w:rPr>
        <w:t xml:space="preserve">condiciones materiales esenciales </w:t>
      </w:r>
      <w:r w:rsidRPr="00DB1208">
        <w:rPr>
          <w:rFonts w:ascii="Times New Roman" w:eastAsia="Times New Roman" w:hAnsi="Times New Roman" w:cs="Times New Roman"/>
          <w:kern w:val="0"/>
          <w:lang w:eastAsia="es-ES_tradnl"/>
          <w14:ligatures w14:val="none"/>
        </w:rPr>
        <w:t>para la licitud del tratamiento de datos de salud con fines de investigación, y no como exigencias accesorias.</w:t>
      </w:r>
    </w:p>
    <w:p w14:paraId="38EEFAC3" w14:textId="77777777" w:rsidR="00DB1208" w:rsidRPr="00DB1208" w:rsidRDefault="00DB1208" w:rsidP="00DB1208">
      <w:pPr>
        <w:spacing w:before="100" w:beforeAutospacing="1" w:after="100" w:afterAutospacing="1"/>
        <w:jc w:val="both"/>
        <w:rPr>
          <w:rFonts w:ascii="Times New Roman" w:eastAsia="Times New Roman" w:hAnsi="Times New Roman" w:cs="Times New Roman"/>
          <w:kern w:val="0"/>
          <w:lang w:eastAsia="es-ES_tradnl"/>
          <w14:ligatures w14:val="none"/>
        </w:rPr>
      </w:pPr>
      <w:r w:rsidRPr="00DB1208">
        <w:rPr>
          <w:rFonts w:ascii="Times New Roman" w:eastAsia="Times New Roman" w:hAnsi="Times New Roman" w:cs="Times New Roman"/>
          <w:kern w:val="0"/>
          <w:lang w:eastAsia="es-ES_tradnl"/>
          <w14:ligatures w14:val="none"/>
        </w:rPr>
        <w:t xml:space="preserve">Finalmente, incluso en aquellos supuestos en los que no se recabe el consentimiento del interesado, resulta imprescindible reforzar las obligaciones de transparencia, informando </w:t>
      </w:r>
      <w:r w:rsidRPr="00DB1208">
        <w:rPr>
          <w:rFonts w:ascii="Times New Roman" w:eastAsia="Times New Roman" w:hAnsi="Times New Roman" w:cs="Times New Roman"/>
          <w:kern w:val="0"/>
          <w:lang w:eastAsia="es-ES_tradnl"/>
          <w14:ligatures w14:val="none"/>
        </w:rPr>
        <w:lastRenderedPageBreak/>
        <w:t>de manera clara y accesible sobre los usos de los datos de salud, los fines de investigación, las garantías aplicables y los mecanismos de control disponibles. Estas obligaciones contribuyen a preservar la autonomía informativa de las personas y a fortalecer la confianza pública en los sistemas de reutilización de datos sanitarios.</w:t>
      </w:r>
    </w:p>
    <w:p w14:paraId="4316E1AF" w14:textId="77777777" w:rsidR="00DB1208" w:rsidRPr="00DB1208" w:rsidRDefault="00DB1208" w:rsidP="00DB1208">
      <w:pPr>
        <w:spacing w:before="100" w:beforeAutospacing="1" w:after="100" w:afterAutospacing="1"/>
        <w:jc w:val="both"/>
        <w:rPr>
          <w:rFonts w:ascii="Times New Roman" w:eastAsia="Times New Roman" w:hAnsi="Times New Roman" w:cs="Times New Roman"/>
          <w:kern w:val="0"/>
          <w:lang w:eastAsia="es-ES_tradnl"/>
          <w14:ligatures w14:val="none"/>
        </w:rPr>
      </w:pPr>
      <w:r w:rsidRPr="00DB1208">
        <w:rPr>
          <w:rFonts w:ascii="Times New Roman" w:eastAsia="Times New Roman" w:hAnsi="Times New Roman" w:cs="Times New Roman"/>
          <w:kern w:val="0"/>
          <w:lang w:eastAsia="es-ES_tradnl"/>
          <w14:ligatures w14:val="none"/>
        </w:rPr>
        <w:t>A la luz de lo expuesto, el reto actual del Derecho de la protección de datos no consiste en optar entre la tutela de los datos de salud y el impulso de la investigación científica, sino en articular modelos normativos que integren ambos objetivos de forma equilibrada y sostenible. El EEDS y la disposición adicional decimoséptima de la LOPDGDD muestran que este equilibrio es alcanzable, siempre que se apoye en garantías institucionales sólidas, en una aplicación rigurosa del RGPD y en una concepción material —y no meramente formal— de la protección de los derechos fundamentales en el ámbito sanitario. Desde esta perspectiva, el reto no es flexibilizar la protección de los datos de salud, sino dotarla de los instrumentos necesarios para acompañar de forma responsable el avance de la investigación científica</w:t>
      </w:r>
      <w:r w:rsidRPr="00DB1208">
        <w:rPr>
          <w:rFonts w:ascii="Times New Roman" w:eastAsia="Times New Roman" w:hAnsi="Times New Roman" w:cs="Times New Roman"/>
          <w:b/>
          <w:bCs/>
          <w:kern w:val="0"/>
          <w:lang w:eastAsia="es-ES_tradnl"/>
          <w14:ligatures w14:val="none"/>
        </w:rPr>
        <w:t>.</w:t>
      </w:r>
    </w:p>
    <w:p w14:paraId="41053094" w14:textId="77777777" w:rsidR="00DB1208" w:rsidRPr="005351EF" w:rsidRDefault="00DB1208" w:rsidP="00DB1208">
      <w:pPr>
        <w:jc w:val="both"/>
        <w:rPr>
          <w:rFonts w:ascii="Times New Roman" w:eastAsia="Times New Roman" w:hAnsi="Times New Roman" w:cs="Times New Roman"/>
          <w:kern w:val="0"/>
          <w:lang w:eastAsia="es-ES_tradnl"/>
          <w14:ligatures w14:val="none"/>
        </w:rPr>
      </w:pPr>
    </w:p>
    <w:p w14:paraId="0EB39EB6" w14:textId="77777777" w:rsidR="00382DC1" w:rsidRPr="00382DC1" w:rsidRDefault="00382DC1" w:rsidP="00382DC1">
      <w:pPr>
        <w:spacing w:before="100" w:beforeAutospacing="1" w:after="100" w:afterAutospacing="1"/>
        <w:outlineLvl w:val="1"/>
        <w:rPr>
          <w:rFonts w:ascii="Times New Roman" w:eastAsia="Times New Roman" w:hAnsi="Times New Roman" w:cs="Times New Roman"/>
          <w:b/>
          <w:bCs/>
          <w:kern w:val="0"/>
          <w:sz w:val="28"/>
          <w:szCs w:val="28"/>
          <w:lang w:eastAsia="es-ES_tradnl"/>
          <w14:ligatures w14:val="none"/>
        </w:rPr>
      </w:pPr>
      <w:r w:rsidRPr="00382DC1">
        <w:rPr>
          <w:rFonts w:ascii="Times New Roman" w:eastAsia="Times New Roman" w:hAnsi="Times New Roman" w:cs="Times New Roman"/>
          <w:b/>
          <w:bCs/>
          <w:kern w:val="0"/>
          <w:sz w:val="28"/>
          <w:szCs w:val="28"/>
          <w:lang w:eastAsia="es-ES_tradnl"/>
          <w14:ligatures w14:val="none"/>
        </w:rPr>
        <w:t>Bibliografía</w:t>
      </w:r>
    </w:p>
    <w:p w14:paraId="1BDC6956" w14:textId="77777777" w:rsidR="00382DC1" w:rsidRPr="00382DC1" w:rsidRDefault="00382DC1" w:rsidP="00382DC1">
      <w:pPr>
        <w:spacing w:before="100" w:beforeAutospacing="1" w:after="100" w:afterAutospacing="1"/>
        <w:outlineLvl w:val="2"/>
        <w:rPr>
          <w:rFonts w:ascii="Times New Roman" w:eastAsia="Times New Roman" w:hAnsi="Times New Roman" w:cs="Times New Roman"/>
          <w:b/>
          <w:bCs/>
          <w:kern w:val="0"/>
          <w:lang w:eastAsia="es-ES_tradnl"/>
          <w14:ligatures w14:val="none"/>
        </w:rPr>
      </w:pPr>
      <w:r w:rsidRPr="00382DC1">
        <w:rPr>
          <w:rFonts w:ascii="Times New Roman" w:eastAsia="Times New Roman" w:hAnsi="Times New Roman" w:cs="Times New Roman"/>
          <w:b/>
          <w:bCs/>
          <w:kern w:val="0"/>
          <w:lang w:eastAsia="es-ES_tradnl"/>
          <w14:ligatures w14:val="none"/>
        </w:rPr>
        <w:t>Doctrina</w:t>
      </w:r>
    </w:p>
    <w:p w14:paraId="71C1CB13" w14:textId="022C7B49" w:rsidR="00382DC1" w:rsidRPr="00382DC1" w:rsidRDefault="00382DC1" w:rsidP="00335053">
      <w:pPr>
        <w:spacing w:before="100" w:beforeAutospacing="1" w:after="100" w:afterAutospacing="1"/>
        <w:jc w:val="both"/>
        <w:rPr>
          <w:rFonts w:ascii="Times New Roman" w:eastAsia="Times New Roman" w:hAnsi="Times New Roman" w:cs="Times New Roman"/>
          <w:kern w:val="0"/>
          <w:lang w:eastAsia="es-ES_tradnl"/>
          <w14:ligatures w14:val="none"/>
        </w:rPr>
      </w:pPr>
      <w:r w:rsidRPr="00382DC1">
        <w:rPr>
          <w:rFonts w:ascii="Times New Roman" w:eastAsia="Times New Roman" w:hAnsi="Times New Roman" w:cs="Times New Roman"/>
          <w:kern w:val="0"/>
          <w:lang w:eastAsia="es-ES_tradnl"/>
          <w14:ligatures w14:val="none"/>
        </w:rPr>
        <w:t xml:space="preserve">DE HERT, </w:t>
      </w:r>
      <w:r w:rsidR="00542C44">
        <w:rPr>
          <w:rFonts w:ascii="Times New Roman" w:eastAsia="Times New Roman" w:hAnsi="Times New Roman" w:cs="Times New Roman"/>
          <w:kern w:val="0"/>
          <w:lang w:eastAsia="es-ES_tradnl"/>
          <w14:ligatures w14:val="none"/>
        </w:rPr>
        <w:t>Paul</w:t>
      </w:r>
      <w:r w:rsidRPr="00382DC1">
        <w:rPr>
          <w:rFonts w:ascii="Times New Roman" w:eastAsia="Times New Roman" w:hAnsi="Times New Roman" w:cs="Times New Roman"/>
          <w:kern w:val="0"/>
          <w:lang w:eastAsia="es-ES_tradnl"/>
          <w14:ligatures w14:val="none"/>
        </w:rPr>
        <w:t>; PAPAKONSTANTINOU,</w:t>
      </w:r>
      <w:r w:rsidR="00542C44" w:rsidRPr="00542C44">
        <w:t xml:space="preserve"> </w:t>
      </w:r>
      <w:proofErr w:type="spellStart"/>
      <w:r w:rsidR="00542C44">
        <w:t>Vasiliki</w:t>
      </w:r>
      <w:proofErr w:type="spellEnd"/>
      <w:r w:rsidRPr="00382DC1">
        <w:rPr>
          <w:rFonts w:ascii="Times New Roman" w:eastAsia="Times New Roman" w:hAnsi="Times New Roman" w:cs="Times New Roman"/>
          <w:kern w:val="0"/>
          <w:lang w:eastAsia="es-ES_tradnl"/>
          <w14:ligatures w14:val="none"/>
        </w:rPr>
        <w:t xml:space="preserve">, </w:t>
      </w:r>
      <w:r w:rsidRPr="00382DC1">
        <w:rPr>
          <w:rFonts w:ascii="Times New Roman" w:eastAsia="Times New Roman" w:hAnsi="Times New Roman" w:cs="Times New Roman"/>
          <w:i/>
          <w:iCs/>
          <w:kern w:val="0"/>
          <w:lang w:eastAsia="es-ES_tradnl"/>
          <w14:ligatures w14:val="none"/>
        </w:rPr>
        <w:t xml:space="preserve">The data </w:t>
      </w:r>
      <w:proofErr w:type="spellStart"/>
      <w:r w:rsidRPr="00382DC1">
        <w:rPr>
          <w:rFonts w:ascii="Times New Roman" w:eastAsia="Times New Roman" w:hAnsi="Times New Roman" w:cs="Times New Roman"/>
          <w:i/>
          <w:iCs/>
          <w:kern w:val="0"/>
          <w:lang w:eastAsia="es-ES_tradnl"/>
          <w14:ligatures w14:val="none"/>
        </w:rPr>
        <w:t>protection</w:t>
      </w:r>
      <w:proofErr w:type="spellEnd"/>
      <w:r w:rsidRPr="00382DC1">
        <w:rPr>
          <w:rFonts w:ascii="Times New Roman" w:eastAsia="Times New Roman" w:hAnsi="Times New Roman" w:cs="Times New Roman"/>
          <w:i/>
          <w:iCs/>
          <w:kern w:val="0"/>
          <w:lang w:eastAsia="es-ES_tradnl"/>
          <w14:ligatures w14:val="none"/>
        </w:rPr>
        <w:t xml:space="preserve"> </w:t>
      </w:r>
      <w:proofErr w:type="spellStart"/>
      <w:r w:rsidRPr="00382DC1">
        <w:rPr>
          <w:rFonts w:ascii="Times New Roman" w:eastAsia="Times New Roman" w:hAnsi="Times New Roman" w:cs="Times New Roman"/>
          <w:i/>
          <w:iCs/>
          <w:kern w:val="0"/>
          <w:lang w:eastAsia="es-ES_tradnl"/>
          <w14:ligatures w14:val="none"/>
        </w:rPr>
        <w:t>regime</w:t>
      </w:r>
      <w:proofErr w:type="spellEnd"/>
      <w:r w:rsidRPr="00382DC1">
        <w:rPr>
          <w:rFonts w:ascii="Times New Roman" w:eastAsia="Times New Roman" w:hAnsi="Times New Roman" w:cs="Times New Roman"/>
          <w:i/>
          <w:iCs/>
          <w:kern w:val="0"/>
          <w:lang w:eastAsia="es-ES_tradnl"/>
          <w14:ligatures w14:val="none"/>
        </w:rPr>
        <w:t xml:space="preserve"> of the EU: A </w:t>
      </w:r>
      <w:proofErr w:type="spellStart"/>
      <w:r w:rsidRPr="00382DC1">
        <w:rPr>
          <w:rFonts w:ascii="Times New Roman" w:eastAsia="Times New Roman" w:hAnsi="Times New Roman" w:cs="Times New Roman"/>
          <w:i/>
          <w:iCs/>
          <w:kern w:val="0"/>
          <w:lang w:eastAsia="es-ES_tradnl"/>
          <w14:ligatures w14:val="none"/>
        </w:rPr>
        <w:t>critical</w:t>
      </w:r>
      <w:proofErr w:type="spellEnd"/>
      <w:r w:rsidRPr="00382DC1">
        <w:rPr>
          <w:rFonts w:ascii="Times New Roman" w:eastAsia="Times New Roman" w:hAnsi="Times New Roman" w:cs="Times New Roman"/>
          <w:i/>
          <w:iCs/>
          <w:kern w:val="0"/>
          <w:lang w:eastAsia="es-ES_tradnl"/>
          <w14:ligatures w14:val="none"/>
        </w:rPr>
        <w:t xml:space="preserve"> </w:t>
      </w:r>
      <w:proofErr w:type="spellStart"/>
      <w:r w:rsidRPr="00382DC1">
        <w:rPr>
          <w:rFonts w:ascii="Times New Roman" w:eastAsia="Times New Roman" w:hAnsi="Times New Roman" w:cs="Times New Roman"/>
          <w:i/>
          <w:iCs/>
          <w:kern w:val="0"/>
          <w:lang w:eastAsia="es-ES_tradnl"/>
          <w14:ligatures w14:val="none"/>
        </w:rPr>
        <w:t>analysis</w:t>
      </w:r>
      <w:proofErr w:type="spellEnd"/>
      <w:r w:rsidRPr="00382DC1">
        <w:rPr>
          <w:rFonts w:ascii="Times New Roman" w:eastAsia="Times New Roman" w:hAnsi="Times New Roman" w:cs="Times New Roman"/>
          <w:kern w:val="0"/>
          <w:lang w:eastAsia="es-ES_tradnl"/>
          <w14:ligatures w14:val="none"/>
        </w:rPr>
        <w:t xml:space="preserve">, Oxford </w:t>
      </w:r>
      <w:proofErr w:type="spellStart"/>
      <w:r w:rsidRPr="00382DC1">
        <w:rPr>
          <w:rFonts w:ascii="Times New Roman" w:eastAsia="Times New Roman" w:hAnsi="Times New Roman" w:cs="Times New Roman"/>
          <w:kern w:val="0"/>
          <w:lang w:eastAsia="es-ES_tradnl"/>
          <w14:ligatures w14:val="none"/>
        </w:rPr>
        <w:t>University</w:t>
      </w:r>
      <w:proofErr w:type="spellEnd"/>
      <w:r w:rsidRPr="00382DC1">
        <w:rPr>
          <w:rFonts w:ascii="Times New Roman" w:eastAsia="Times New Roman" w:hAnsi="Times New Roman" w:cs="Times New Roman"/>
          <w:kern w:val="0"/>
          <w:lang w:eastAsia="es-ES_tradnl"/>
          <w14:ligatures w14:val="none"/>
        </w:rPr>
        <w:t xml:space="preserve"> </w:t>
      </w:r>
      <w:proofErr w:type="spellStart"/>
      <w:r w:rsidRPr="00382DC1">
        <w:rPr>
          <w:rFonts w:ascii="Times New Roman" w:eastAsia="Times New Roman" w:hAnsi="Times New Roman" w:cs="Times New Roman"/>
          <w:kern w:val="0"/>
          <w:lang w:eastAsia="es-ES_tradnl"/>
          <w14:ligatures w14:val="none"/>
        </w:rPr>
        <w:t>Press</w:t>
      </w:r>
      <w:proofErr w:type="spellEnd"/>
      <w:r w:rsidRPr="00382DC1">
        <w:rPr>
          <w:rFonts w:ascii="Times New Roman" w:eastAsia="Times New Roman" w:hAnsi="Times New Roman" w:cs="Times New Roman"/>
          <w:kern w:val="0"/>
          <w:lang w:eastAsia="es-ES_tradnl"/>
          <w14:ligatures w14:val="none"/>
        </w:rPr>
        <w:t>, Oxford, 2021.</w:t>
      </w:r>
    </w:p>
    <w:p w14:paraId="32989901" w14:textId="66E85362" w:rsidR="00382DC1" w:rsidRPr="00382DC1" w:rsidRDefault="00382DC1" w:rsidP="00335053">
      <w:pPr>
        <w:spacing w:before="100" w:beforeAutospacing="1" w:after="100" w:afterAutospacing="1"/>
        <w:jc w:val="both"/>
        <w:rPr>
          <w:rFonts w:ascii="Times New Roman" w:eastAsia="Times New Roman" w:hAnsi="Times New Roman" w:cs="Times New Roman"/>
          <w:kern w:val="0"/>
          <w:lang w:eastAsia="es-ES_tradnl"/>
          <w14:ligatures w14:val="none"/>
        </w:rPr>
      </w:pPr>
      <w:r w:rsidRPr="00382DC1">
        <w:rPr>
          <w:rFonts w:ascii="Times New Roman" w:eastAsia="Times New Roman" w:hAnsi="Times New Roman" w:cs="Times New Roman"/>
          <w:kern w:val="0"/>
          <w:lang w:eastAsia="es-ES_tradnl"/>
          <w14:ligatures w14:val="none"/>
        </w:rPr>
        <w:t>REBOLLO DELGADO, L</w:t>
      </w:r>
      <w:r w:rsidR="00542C44">
        <w:rPr>
          <w:rFonts w:ascii="Times New Roman" w:eastAsia="Times New Roman" w:hAnsi="Times New Roman" w:cs="Times New Roman"/>
          <w:kern w:val="0"/>
          <w:lang w:eastAsia="es-ES_tradnl"/>
          <w14:ligatures w14:val="none"/>
        </w:rPr>
        <w:t>ucrecio</w:t>
      </w:r>
      <w:r w:rsidRPr="00382DC1">
        <w:rPr>
          <w:rFonts w:ascii="Times New Roman" w:eastAsia="Times New Roman" w:hAnsi="Times New Roman" w:cs="Times New Roman"/>
          <w:kern w:val="0"/>
          <w:lang w:eastAsia="es-ES_tradnl"/>
          <w14:ligatures w14:val="none"/>
        </w:rPr>
        <w:t xml:space="preserve">, “Datos de salud y categorías especiales de datos personales en el RGPD”, </w:t>
      </w:r>
      <w:r w:rsidRPr="00382DC1">
        <w:rPr>
          <w:rFonts w:ascii="Times New Roman" w:eastAsia="Times New Roman" w:hAnsi="Times New Roman" w:cs="Times New Roman"/>
          <w:i/>
          <w:iCs/>
          <w:kern w:val="0"/>
          <w:lang w:eastAsia="es-ES_tradnl"/>
          <w14:ligatures w14:val="none"/>
        </w:rPr>
        <w:t>Revista Española de Protección de Datos</w:t>
      </w:r>
      <w:r w:rsidRPr="00382DC1">
        <w:rPr>
          <w:rFonts w:ascii="Times New Roman" w:eastAsia="Times New Roman" w:hAnsi="Times New Roman" w:cs="Times New Roman"/>
          <w:kern w:val="0"/>
          <w:lang w:eastAsia="es-ES_tradnl"/>
          <w14:ligatures w14:val="none"/>
        </w:rPr>
        <w:t>, núm. 35, 2021, pp. 45-78.</w:t>
      </w:r>
    </w:p>
    <w:p w14:paraId="23329401" w14:textId="706DA749" w:rsidR="00382DC1" w:rsidRPr="00382DC1" w:rsidRDefault="00382DC1" w:rsidP="00335053">
      <w:pPr>
        <w:spacing w:before="100" w:beforeAutospacing="1" w:after="100" w:afterAutospacing="1"/>
        <w:jc w:val="both"/>
        <w:rPr>
          <w:rFonts w:ascii="Times New Roman" w:eastAsia="Times New Roman" w:hAnsi="Times New Roman" w:cs="Times New Roman"/>
          <w:kern w:val="0"/>
          <w:lang w:eastAsia="es-ES_tradnl"/>
          <w14:ligatures w14:val="none"/>
        </w:rPr>
      </w:pPr>
      <w:r w:rsidRPr="00382DC1">
        <w:rPr>
          <w:rFonts w:ascii="Times New Roman" w:eastAsia="Times New Roman" w:hAnsi="Times New Roman" w:cs="Times New Roman"/>
          <w:kern w:val="0"/>
          <w:lang w:eastAsia="es-ES_tradnl"/>
          <w14:ligatures w14:val="none"/>
        </w:rPr>
        <w:t>RODRÍGUEZ AYUSO, J</w:t>
      </w:r>
      <w:r w:rsidR="00542C44">
        <w:rPr>
          <w:rFonts w:ascii="Times New Roman" w:eastAsia="Times New Roman" w:hAnsi="Times New Roman" w:cs="Times New Roman"/>
          <w:kern w:val="0"/>
          <w:lang w:eastAsia="es-ES_tradnl"/>
          <w14:ligatures w14:val="none"/>
        </w:rPr>
        <w:t>uan Francisco</w:t>
      </w:r>
      <w:r w:rsidRPr="00382DC1">
        <w:rPr>
          <w:rFonts w:ascii="Times New Roman" w:eastAsia="Times New Roman" w:hAnsi="Times New Roman" w:cs="Times New Roman"/>
          <w:b/>
          <w:bCs/>
          <w:kern w:val="0"/>
          <w:lang w:eastAsia="es-ES_tradnl"/>
          <w14:ligatures w14:val="none"/>
        </w:rPr>
        <w:t>.</w:t>
      </w:r>
      <w:r w:rsidRPr="00382DC1">
        <w:rPr>
          <w:rFonts w:ascii="Times New Roman" w:eastAsia="Times New Roman" w:hAnsi="Times New Roman" w:cs="Times New Roman"/>
          <w:kern w:val="0"/>
          <w:lang w:eastAsia="es-ES_tradnl"/>
          <w14:ligatures w14:val="none"/>
        </w:rPr>
        <w:t xml:space="preserve"> </w:t>
      </w:r>
      <w:r w:rsidRPr="00382DC1">
        <w:rPr>
          <w:rFonts w:ascii="Times New Roman" w:eastAsia="Times New Roman" w:hAnsi="Times New Roman" w:cs="Times New Roman"/>
          <w:i/>
          <w:iCs/>
          <w:kern w:val="0"/>
          <w:lang w:eastAsia="es-ES_tradnl"/>
          <w14:ligatures w14:val="none"/>
        </w:rPr>
        <w:t>La protección de los datos personales en el ámbito sanitario</w:t>
      </w:r>
      <w:r w:rsidRPr="00382DC1">
        <w:rPr>
          <w:rFonts w:ascii="Times New Roman" w:eastAsia="Times New Roman" w:hAnsi="Times New Roman" w:cs="Times New Roman"/>
          <w:kern w:val="0"/>
          <w:lang w:eastAsia="es-ES_tradnl"/>
          <w14:ligatures w14:val="none"/>
        </w:rPr>
        <w:t>, Tirant lo Blanch, Valencia, 2020.</w:t>
      </w:r>
    </w:p>
    <w:p w14:paraId="42187874" w14:textId="7F824115" w:rsidR="00382DC1" w:rsidRPr="00382DC1" w:rsidRDefault="00382DC1" w:rsidP="00542C44">
      <w:pPr>
        <w:spacing w:before="100" w:beforeAutospacing="1" w:after="100" w:afterAutospacing="1"/>
        <w:jc w:val="both"/>
        <w:rPr>
          <w:rFonts w:ascii="Times New Roman" w:eastAsia="Times New Roman" w:hAnsi="Times New Roman" w:cs="Times New Roman"/>
          <w:kern w:val="0"/>
          <w:lang w:eastAsia="es-ES_tradnl"/>
          <w14:ligatures w14:val="none"/>
        </w:rPr>
      </w:pPr>
      <w:r w:rsidRPr="00382DC1">
        <w:rPr>
          <w:rFonts w:ascii="Times New Roman" w:eastAsia="Times New Roman" w:hAnsi="Times New Roman" w:cs="Times New Roman"/>
          <w:kern w:val="0"/>
          <w:lang w:eastAsia="es-ES_tradnl"/>
          <w14:ligatures w14:val="none"/>
        </w:rPr>
        <w:t>TRONCOSO REIGADA, A</w:t>
      </w:r>
      <w:r w:rsidR="00542C44" w:rsidRPr="00542C44">
        <w:rPr>
          <w:rFonts w:ascii="Times New Roman" w:eastAsia="Times New Roman" w:hAnsi="Times New Roman" w:cs="Times New Roman"/>
          <w:kern w:val="0"/>
          <w:lang w:eastAsia="es-ES_tradnl"/>
          <w14:ligatures w14:val="none"/>
        </w:rPr>
        <w:t>ntonio</w:t>
      </w:r>
      <w:r w:rsidRPr="00382DC1">
        <w:rPr>
          <w:rFonts w:ascii="Times New Roman" w:eastAsia="Times New Roman" w:hAnsi="Times New Roman" w:cs="Times New Roman"/>
          <w:kern w:val="0"/>
          <w:lang w:eastAsia="es-ES_tradnl"/>
          <w14:ligatures w14:val="none"/>
        </w:rPr>
        <w:t xml:space="preserve">, </w:t>
      </w:r>
      <w:r w:rsidRPr="00382DC1">
        <w:rPr>
          <w:rFonts w:ascii="Times New Roman" w:eastAsia="Times New Roman" w:hAnsi="Times New Roman" w:cs="Times New Roman"/>
          <w:i/>
          <w:iCs/>
          <w:kern w:val="0"/>
          <w:lang w:eastAsia="es-ES_tradnl"/>
          <w14:ligatures w14:val="none"/>
        </w:rPr>
        <w:t>La protección de datos personales. Comentario al Reglamento General de Protección de Datos</w:t>
      </w:r>
      <w:r w:rsidRPr="00382DC1">
        <w:rPr>
          <w:rFonts w:ascii="Times New Roman" w:eastAsia="Times New Roman" w:hAnsi="Times New Roman" w:cs="Times New Roman"/>
          <w:kern w:val="0"/>
          <w:lang w:eastAsia="es-ES_tradnl"/>
          <w14:ligatures w14:val="none"/>
        </w:rPr>
        <w:t xml:space="preserve">, 2.ª ed., </w:t>
      </w:r>
      <w:proofErr w:type="spellStart"/>
      <w:r w:rsidRPr="00382DC1">
        <w:rPr>
          <w:rFonts w:ascii="Times New Roman" w:eastAsia="Times New Roman" w:hAnsi="Times New Roman" w:cs="Times New Roman"/>
          <w:kern w:val="0"/>
          <w:lang w:eastAsia="es-ES_tradnl"/>
          <w14:ligatures w14:val="none"/>
        </w:rPr>
        <w:t>Civitas</w:t>
      </w:r>
      <w:proofErr w:type="spellEnd"/>
      <w:r w:rsidRPr="00382DC1">
        <w:rPr>
          <w:rFonts w:ascii="Times New Roman" w:eastAsia="Times New Roman" w:hAnsi="Times New Roman" w:cs="Times New Roman"/>
          <w:kern w:val="0"/>
          <w:lang w:eastAsia="es-ES_tradnl"/>
          <w14:ligatures w14:val="none"/>
        </w:rPr>
        <w:t>-Thomson Reuters, Madrid, 2021.</w:t>
      </w:r>
    </w:p>
    <w:p w14:paraId="3FD1C25F" w14:textId="77777777" w:rsidR="00382DC1" w:rsidRPr="00382DC1" w:rsidRDefault="00382DC1" w:rsidP="00382DC1">
      <w:pPr>
        <w:spacing w:before="100" w:beforeAutospacing="1" w:after="100" w:afterAutospacing="1"/>
        <w:outlineLvl w:val="2"/>
        <w:rPr>
          <w:rFonts w:ascii="Times New Roman" w:eastAsia="Times New Roman" w:hAnsi="Times New Roman" w:cs="Times New Roman"/>
          <w:b/>
          <w:bCs/>
          <w:kern w:val="0"/>
          <w:lang w:eastAsia="es-ES_tradnl"/>
          <w14:ligatures w14:val="none"/>
        </w:rPr>
      </w:pPr>
      <w:r w:rsidRPr="00382DC1">
        <w:rPr>
          <w:rFonts w:ascii="Times New Roman" w:eastAsia="Times New Roman" w:hAnsi="Times New Roman" w:cs="Times New Roman"/>
          <w:b/>
          <w:bCs/>
          <w:kern w:val="0"/>
          <w:lang w:eastAsia="es-ES_tradnl"/>
          <w14:ligatures w14:val="none"/>
        </w:rPr>
        <w:t>Normativa</w:t>
      </w:r>
    </w:p>
    <w:p w14:paraId="6D1A943F" w14:textId="77777777" w:rsidR="00382DC1" w:rsidRPr="00382DC1" w:rsidRDefault="00382DC1" w:rsidP="00335053">
      <w:pPr>
        <w:spacing w:before="100" w:beforeAutospacing="1" w:after="100" w:afterAutospacing="1"/>
        <w:jc w:val="both"/>
        <w:rPr>
          <w:rFonts w:ascii="Times New Roman" w:eastAsia="Times New Roman" w:hAnsi="Times New Roman" w:cs="Times New Roman"/>
          <w:kern w:val="0"/>
          <w:lang w:eastAsia="es-ES_tradnl"/>
          <w14:ligatures w14:val="none"/>
        </w:rPr>
      </w:pPr>
      <w:r w:rsidRPr="00382DC1">
        <w:rPr>
          <w:rFonts w:ascii="Times New Roman" w:eastAsia="Times New Roman" w:hAnsi="Times New Roman" w:cs="Times New Roman"/>
          <w:kern w:val="0"/>
          <w:lang w:eastAsia="es-ES_tradnl"/>
          <w14:ligatures w14:val="none"/>
        </w:rPr>
        <w:t>Ley Orgánica 3/2018, de 5 de diciembre, de Protección de Datos Personales y garantía de los derechos digitales (LOPDGDD).</w:t>
      </w:r>
    </w:p>
    <w:p w14:paraId="2FB617A5" w14:textId="77777777" w:rsidR="00382DC1" w:rsidRPr="00382DC1" w:rsidRDefault="00382DC1" w:rsidP="00335053">
      <w:pPr>
        <w:spacing w:before="100" w:beforeAutospacing="1" w:after="100" w:afterAutospacing="1"/>
        <w:jc w:val="both"/>
        <w:rPr>
          <w:rFonts w:ascii="Times New Roman" w:eastAsia="Times New Roman" w:hAnsi="Times New Roman" w:cs="Times New Roman"/>
          <w:kern w:val="0"/>
          <w:lang w:eastAsia="es-ES_tradnl"/>
          <w14:ligatures w14:val="none"/>
        </w:rPr>
      </w:pPr>
      <w:r w:rsidRPr="00382DC1">
        <w:rPr>
          <w:rFonts w:ascii="Times New Roman" w:eastAsia="Times New Roman" w:hAnsi="Times New Roman" w:cs="Times New Roman"/>
          <w:kern w:val="0"/>
          <w:lang w:eastAsia="es-ES_tradnl"/>
          <w14:ligatures w14:val="none"/>
        </w:rPr>
        <w:t>Reglamento (UE) 2016/679 del Parlamento Europeo y del Consejo, de 27 de abril de 2016, relativo a la protección de las personas físicas en lo que respecta al tratamiento de datos personales y a la libre circulación de estos datos (RGPD).</w:t>
      </w:r>
    </w:p>
    <w:p w14:paraId="77B5D7D9" w14:textId="77777777" w:rsidR="00382DC1" w:rsidRPr="00382DC1" w:rsidRDefault="00382DC1" w:rsidP="00335053">
      <w:pPr>
        <w:spacing w:before="100" w:beforeAutospacing="1" w:after="100" w:afterAutospacing="1"/>
        <w:jc w:val="both"/>
        <w:rPr>
          <w:rFonts w:ascii="Times New Roman" w:eastAsia="Times New Roman" w:hAnsi="Times New Roman" w:cs="Times New Roman"/>
          <w:kern w:val="0"/>
          <w:lang w:eastAsia="es-ES_tradnl"/>
          <w14:ligatures w14:val="none"/>
        </w:rPr>
      </w:pPr>
      <w:r w:rsidRPr="00382DC1">
        <w:rPr>
          <w:rFonts w:ascii="Times New Roman" w:eastAsia="Times New Roman" w:hAnsi="Times New Roman" w:cs="Times New Roman"/>
          <w:kern w:val="0"/>
          <w:lang w:eastAsia="es-ES_tradnl"/>
          <w14:ligatures w14:val="none"/>
        </w:rPr>
        <w:t>Reglamento (UE) 2022/868 del Parlamento Europeo y del Consejo, de 30 de mayo de 2022, relativo a la gobernanza europea de datos (</w:t>
      </w:r>
      <w:r w:rsidRPr="00382DC1">
        <w:rPr>
          <w:rFonts w:ascii="Times New Roman" w:eastAsia="Times New Roman" w:hAnsi="Times New Roman" w:cs="Times New Roman"/>
          <w:i/>
          <w:iCs/>
          <w:kern w:val="0"/>
          <w:lang w:eastAsia="es-ES_tradnl"/>
          <w14:ligatures w14:val="none"/>
        </w:rPr>
        <w:t xml:space="preserve">Data </w:t>
      </w:r>
      <w:proofErr w:type="spellStart"/>
      <w:r w:rsidRPr="00382DC1">
        <w:rPr>
          <w:rFonts w:ascii="Times New Roman" w:eastAsia="Times New Roman" w:hAnsi="Times New Roman" w:cs="Times New Roman"/>
          <w:i/>
          <w:iCs/>
          <w:kern w:val="0"/>
          <w:lang w:eastAsia="es-ES_tradnl"/>
          <w14:ligatures w14:val="none"/>
        </w:rPr>
        <w:t>Governance</w:t>
      </w:r>
      <w:proofErr w:type="spellEnd"/>
      <w:r w:rsidRPr="00382DC1">
        <w:rPr>
          <w:rFonts w:ascii="Times New Roman" w:eastAsia="Times New Roman" w:hAnsi="Times New Roman" w:cs="Times New Roman"/>
          <w:i/>
          <w:iCs/>
          <w:kern w:val="0"/>
          <w:lang w:eastAsia="es-ES_tradnl"/>
          <w14:ligatures w14:val="none"/>
        </w:rPr>
        <w:t xml:space="preserve"> </w:t>
      </w:r>
      <w:proofErr w:type="spellStart"/>
      <w:r w:rsidRPr="00382DC1">
        <w:rPr>
          <w:rFonts w:ascii="Times New Roman" w:eastAsia="Times New Roman" w:hAnsi="Times New Roman" w:cs="Times New Roman"/>
          <w:i/>
          <w:iCs/>
          <w:kern w:val="0"/>
          <w:lang w:eastAsia="es-ES_tradnl"/>
          <w14:ligatures w14:val="none"/>
        </w:rPr>
        <w:t>Act</w:t>
      </w:r>
      <w:proofErr w:type="spellEnd"/>
      <w:r w:rsidRPr="00382DC1">
        <w:rPr>
          <w:rFonts w:ascii="Times New Roman" w:eastAsia="Times New Roman" w:hAnsi="Times New Roman" w:cs="Times New Roman"/>
          <w:kern w:val="0"/>
          <w:lang w:eastAsia="es-ES_tradnl"/>
          <w14:ligatures w14:val="none"/>
        </w:rPr>
        <w:t>).</w:t>
      </w:r>
    </w:p>
    <w:p w14:paraId="2CED3459" w14:textId="77777777" w:rsidR="00A827C7" w:rsidRDefault="00A827C7" w:rsidP="00382DC1">
      <w:pPr>
        <w:spacing w:before="100" w:beforeAutospacing="1" w:after="100" w:afterAutospacing="1"/>
        <w:outlineLvl w:val="2"/>
        <w:rPr>
          <w:rFonts w:ascii="Times New Roman" w:eastAsia="Times New Roman" w:hAnsi="Times New Roman" w:cs="Times New Roman"/>
          <w:kern w:val="0"/>
          <w:lang w:eastAsia="es-ES_tradnl"/>
          <w14:ligatures w14:val="none"/>
        </w:rPr>
      </w:pPr>
    </w:p>
    <w:p w14:paraId="0CE74777" w14:textId="24C822D6" w:rsidR="00382DC1" w:rsidRPr="00382DC1" w:rsidRDefault="00382DC1" w:rsidP="00382DC1">
      <w:pPr>
        <w:spacing w:before="100" w:beforeAutospacing="1" w:after="100" w:afterAutospacing="1"/>
        <w:outlineLvl w:val="2"/>
        <w:rPr>
          <w:rFonts w:ascii="Times New Roman" w:eastAsia="Times New Roman" w:hAnsi="Times New Roman" w:cs="Times New Roman"/>
          <w:b/>
          <w:bCs/>
          <w:kern w:val="0"/>
          <w:lang w:eastAsia="es-ES_tradnl"/>
          <w14:ligatures w14:val="none"/>
        </w:rPr>
      </w:pPr>
      <w:r w:rsidRPr="00382DC1">
        <w:rPr>
          <w:rFonts w:ascii="Times New Roman" w:eastAsia="Times New Roman" w:hAnsi="Times New Roman" w:cs="Times New Roman"/>
          <w:b/>
          <w:bCs/>
          <w:kern w:val="0"/>
          <w:lang w:eastAsia="es-ES_tradnl"/>
          <w14:ligatures w14:val="none"/>
        </w:rPr>
        <w:lastRenderedPageBreak/>
        <w:t>Documentos e informes europeos</w:t>
      </w:r>
    </w:p>
    <w:p w14:paraId="1FAD4912" w14:textId="77777777" w:rsidR="00382DC1" w:rsidRPr="00382DC1" w:rsidRDefault="00382DC1" w:rsidP="00335053">
      <w:pPr>
        <w:spacing w:before="100" w:beforeAutospacing="1" w:after="100" w:afterAutospacing="1"/>
        <w:jc w:val="both"/>
        <w:rPr>
          <w:rFonts w:ascii="Times New Roman" w:eastAsia="Times New Roman" w:hAnsi="Times New Roman" w:cs="Times New Roman"/>
          <w:kern w:val="0"/>
          <w:lang w:eastAsia="es-ES_tradnl"/>
          <w14:ligatures w14:val="none"/>
        </w:rPr>
      </w:pPr>
      <w:r w:rsidRPr="00382DC1">
        <w:rPr>
          <w:rFonts w:ascii="Times New Roman" w:eastAsia="Times New Roman" w:hAnsi="Times New Roman" w:cs="Times New Roman"/>
          <w:kern w:val="0"/>
          <w:lang w:eastAsia="es-ES_tradnl"/>
          <w14:ligatures w14:val="none"/>
        </w:rPr>
        <w:t xml:space="preserve">COMISIÓN EUROPEA, </w:t>
      </w:r>
      <w:r w:rsidRPr="00382DC1">
        <w:rPr>
          <w:rFonts w:ascii="Times New Roman" w:eastAsia="Times New Roman" w:hAnsi="Times New Roman" w:cs="Times New Roman"/>
          <w:i/>
          <w:iCs/>
          <w:kern w:val="0"/>
          <w:lang w:eastAsia="es-ES_tradnl"/>
          <w14:ligatures w14:val="none"/>
        </w:rPr>
        <w:t xml:space="preserve">A European </w:t>
      </w:r>
      <w:proofErr w:type="spellStart"/>
      <w:r w:rsidRPr="00382DC1">
        <w:rPr>
          <w:rFonts w:ascii="Times New Roman" w:eastAsia="Times New Roman" w:hAnsi="Times New Roman" w:cs="Times New Roman"/>
          <w:i/>
          <w:iCs/>
          <w:kern w:val="0"/>
          <w:lang w:eastAsia="es-ES_tradnl"/>
          <w14:ligatures w14:val="none"/>
        </w:rPr>
        <w:t>strategy</w:t>
      </w:r>
      <w:proofErr w:type="spellEnd"/>
      <w:r w:rsidRPr="00382DC1">
        <w:rPr>
          <w:rFonts w:ascii="Times New Roman" w:eastAsia="Times New Roman" w:hAnsi="Times New Roman" w:cs="Times New Roman"/>
          <w:i/>
          <w:iCs/>
          <w:kern w:val="0"/>
          <w:lang w:eastAsia="es-ES_tradnl"/>
          <w14:ligatures w14:val="none"/>
        </w:rPr>
        <w:t xml:space="preserve"> </w:t>
      </w:r>
      <w:proofErr w:type="spellStart"/>
      <w:r w:rsidRPr="00382DC1">
        <w:rPr>
          <w:rFonts w:ascii="Times New Roman" w:eastAsia="Times New Roman" w:hAnsi="Times New Roman" w:cs="Times New Roman"/>
          <w:i/>
          <w:iCs/>
          <w:kern w:val="0"/>
          <w:lang w:eastAsia="es-ES_tradnl"/>
          <w14:ligatures w14:val="none"/>
        </w:rPr>
        <w:t>for</w:t>
      </w:r>
      <w:proofErr w:type="spellEnd"/>
      <w:r w:rsidRPr="00382DC1">
        <w:rPr>
          <w:rFonts w:ascii="Times New Roman" w:eastAsia="Times New Roman" w:hAnsi="Times New Roman" w:cs="Times New Roman"/>
          <w:i/>
          <w:iCs/>
          <w:kern w:val="0"/>
          <w:lang w:eastAsia="es-ES_tradnl"/>
          <w14:ligatures w14:val="none"/>
        </w:rPr>
        <w:t xml:space="preserve"> data</w:t>
      </w:r>
      <w:r w:rsidRPr="00382DC1">
        <w:rPr>
          <w:rFonts w:ascii="Times New Roman" w:eastAsia="Times New Roman" w:hAnsi="Times New Roman" w:cs="Times New Roman"/>
          <w:kern w:val="0"/>
          <w:lang w:eastAsia="es-ES_tradnl"/>
          <w14:ligatures w14:val="none"/>
        </w:rPr>
        <w:t xml:space="preserve">, </w:t>
      </w:r>
      <w:proofErr w:type="gramStart"/>
      <w:r w:rsidRPr="00382DC1">
        <w:rPr>
          <w:rFonts w:ascii="Times New Roman" w:eastAsia="Times New Roman" w:hAnsi="Times New Roman" w:cs="Times New Roman"/>
          <w:kern w:val="0"/>
          <w:lang w:eastAsia="es-ES_tradnl"/>
          <w14:ligatures w14:val="none"/>
        </w:rPr>
        <w:t>COM(</w:t>
      </w:r>
      <w:proofErr w:type="gramEnd"/>
      <w:r w:rsidRPr="00382DC1">
        <w:rPr>
          <w:rFonts w:ascii="Times New Roman" w:eastAsia="Times New Roman" w:hAnsi="Times New Roman" w:cs="Times New Roman"/>
          <w:kern w:val="0"/>
          <w:lang w:eastAsia="es-ES_tradnl"/>
          <w14:ligatures w14:val="none"/>
        </w:rPr>
        <w:t>2020) 66 final.</w:t>
      </w:r>
    </w:p>
    <w:p w14:paraId="55D8EACA" w14:textId="3A301971" w:rsidR="00382DC1" w:rsidRPr="00382DC1" w:rsidRDefault="00382DC1" w:rsidP="00335053">
      <w:pPr>
        <w:spacing w:before="100" w:beforeAutospacing="1" w:after="100" w:afterAutospacing="1"/>
        <w:jc w:val="both"/>
        <w:rPr>
          <w:rFonts w:ascii="Times New Roman" w:eastAsia="Times New Roman" w:hAnsi="Times New Roman" w:cs="Times New Roman"/>
          <w:kern w:val="0"/>
          <w:lang w:eastAsia="es-ES_tradnl"/>
          <w14:ligatures w14:val="none"/>
        </w:rPr>
      </w:pPr>
      <w:r w:rsidRPr="00382DC1">
        <w:rPr>
          <w:rFonts w:ascii="Times New Roman" w:eastAsia="Times New Roman" w:hAnsi="Times New Roman" w:cs="Times New Roman"/>
          <w:kern w:val="0"/>
          <w:lang w:eastAsia="es-ES_tradnl"/>
          <w14:ligatures w14:val="none"/>
        </w:rPr>
        <w:t xml:space="preserve">COMISIÓN EUROPEA, </w:t>
      </w:r>
      <w:r w:rsidRPr="00382DC1">
        <w:rPr>
          <w:rFonts w:ascii="Times New Roman" w:eastAsia="Times New Roman" w:hAnsi="Times New Roman" w:cs="Times New Roman"/>
          <w:i/>
          <w:iCs/>
          <w:kern w:val="0"/>
          <w:lang w:eastAsia="es-ES_tradnl"/>
          <w14:ligatures w14:val="none"/>
        </w:rPr>
        <w:t xml:space="preserve">European </w:t>
      </w:r>
      <w:proofErr w:type="spellStart"/>
      <w:r w:rsidRPr="00382DC1">
        <w:rPr>
          <w:rFonts w:ascii="Times New Roman" w:eastAsia="Times New Roman" w:hAnsi="Times New Roman" w:cs="Times New Roman"/>
          <w:i/>
          <w:iCs/>
          <w:kern w:val="0"/>
          <w:lang w:eastAsia="es-ES_tradnl"/>
          <w14:ligatures w14:val="none"/>
        </w:rPr>
        <w:t>Health</w:t>
      </w:r>
      <w:proofErr w:type="spellEnd"/>
      <w:r w:rsidRPr="00382DC1">
        <w:rPr>
          <w:rFonts w:ascii="Times New Roman" w:eastAsia="Times New Roman" w:hAnsi="Times New Roman" w:cs="Times New Roman"/>
          <w:i/>
          <w:iCs/>
          <w:kern w:val="0"/>
          <w:lang w:eastAsia="es-ES_tradnl"/>
          <w14:ligatures w14:val="none"/>
        </w:rPr>
        <w:t xml:space="preserve"> Data </w:t>
      </w:r>
      <w:proofErr w:type="spellStart"/>
      <w:r w:rsidRPr="00382DC1">
        <w:rPr>
          <w:rFonts w:ascii="Times New Roman" w:eastAsia="Times New Roman" w:hAnsi="Times New Roman" w:cs="Times New Roman"/>
          <w:i/>
          <w:iCs/>
          <w:kern w:val="0"/>
          <w:lang w:eastAsia="es-ES_tradnl"/>
          <w14:ligatures w14:val="none"/>
        </w:rPr>
        <w:t>Space</w:t>
      </w:r>
      <w:proofErr w:type="spellEnd"/>
      <w:r w:rsidRPr="00382DC1">
        <w:rPr>
          <w:rFonts w:ascii="Times New Roman" w:eastAsia="Times New Roman" w:hAnsi="Times New Roman" w:cs="Times New Roman"/>
          <w:i/>
          <w:iCs/>
          <w:kern w:val="0"/>
          <w:lang w:eastAsia="es-ES_tradnl"/>
          <w14:ligatures w14:val="none"/>
        </w:rPr>
        <w:t xml:space="preserve"> – Impact Assessment</w:t>
      </w:r>
      <w:r w:rsidRPr="00382DC1">
        <w:rPr>
          <w:rFonts w:ascii="Times New Roman" w:eastAsia="Times New Roman" w:hAnsi="Times New Roman" w:cs="Times New Roman"/>
          <w:kern w:val="0"/>
          <w:lang w:eastAsia="es-ES_tradnl"/>
          <w14:ligatures w14:val="none"/>
        </w:rPr>
        <w:t xml:space="preserve">, </w:t>
      </w:r>
      <w:r w:rsidR="00335053" w:rsidRPr="00382DC1">
        <w:rPr>
          <w:rFonts w:ascii="Times New Roman" w:eastAsia="Times New Roman" w:hAnsi="Times New Roman" w:cs="Times New Roman"/>
          <w:kern w:val="0"/>
          <w:lang w:eastAsia="es-ES_tradnl"/>
          <w14:ligatures w14:val="none"/>
        </w:rPr>
        <w:t>SWD (</w:t>
      </w:r>
      <w:r w:rsidRPr="00382DC1">
        <w:rPr>
          <w:rFonts w:ascii="Times New Roman" w:eastAsia="Times New Roman" w:hAnsi="Times New Roman" w:cs="Times New Roman"/>
          <w:kern w:val="0"/>
          <w:lang w:eastAsia="es-ES_tradnl"/>
          <w14:ligatures w14:val="none"/>
        </w:rPr>
        <w:t>2022) 131 final.</w:t>
      </w:r>
    </w:p>
    <w:p w14:paraId="03CFC959" w14:textId="7EC6951F" w:rsidR="00382DC1" w:rsidRPr="00382DC1" w:rsidRDefault="00382DC1" w:rsidP="00542C44">
      <w:pPr>
        <w:spacing w:before="100" w:beforeAutospacing="1" w:after="100" w:afterAutospacing="1"/>
        <w:jc w:val="both"/>
        <w:rPr>
          <w:rFonts w:ascii="Times New Roman" w:eastAsia="Times New Roman" w:hAnsi="Times New Roman" w:cs="Times New Roman"/>
          <w:kern w:val="0"/>
          <w:lang w:eastAsia="es-ES_tradnl"/>
          <w14:ligatures w14:val="none"/>
        </w:rPr>
      </w:pPr>
      <w:r w:rsidRPr="00382DC1">
        <w:rPr>
          <w:rFonts w:ascii="Times New Roman" w:eastAsia="Times New Roman" w:hAnsi="Times New Roman" w:cs="Times New Roman"/>
          <w:kern w:val="0"/>
          <w:lang w:eastAsia="es-ES_tradnl"/>
          <w14:ligatures w14:val="none"/>
        </w:rPr>
        <w:t xml:space="preserve">EUROPEAN DATA PROTECTION BOARD, </w:t>
      </w:r>
      <w:proofErr w:type="spellStart"/>
      <w:r w:rsidRPr="00382DC1">
        <w:rPr>
          <w:rFonts w:ascii="Times New Roman" w:eastAsia="Times New Roman" w:hAnsi="Times New Roman" w:cs="Times New Roman"/>
          <w:i/>
          <w:iCs/>
          <w:kern w:val="0"/>
          <w:lang w:eastAsia="es-ES_tradnl"/>
          <w14:ligatures w14:val="none"/>
        </w:rPr>
        <w:t>Opinion</w:t>
      </w:r>
      <w:proofErr w:type="spellEnd"/>
      <w:r w:rsidRPr="00382DC1">
        <w:rPr>
          <w:rFonts w:ascii="Times New Roman" w:eastAsia="Times New Roman" w:hAnsi="Times New Roman" w:cs="Times New Roman"/>
          <w:i/>
          <w:iCs/>
          <w:kern w:val="0"/>
          <w:lang w:eastAsia="es-ES_tradnl"/>
          <w14:ligatures w14:val="none"/>
        </w:rPr>
        <w:t xml:space="preserve"> 3/2019 on the </w:t>
      </w:r>
      <w:proofErr w:type="spellStart"/>
      <w:r w:rsidRPr="00382DC1">
        <w:rPr>
          <w:rFonts w:ascii="Times New Roman" w:eastAsia="Times New Roman" w:hAnsi="Times New Roman" w:cs="Times New Roman"/>
          <w:i/>
          <w:iCs/>
          <w:kern w:val="0"/>
          <w:lang w:eastAsia="es-ES_tradnl"/>
          <w14:ligatures w14:val="none"/>
        </w:rPr>
        <w:t>interplay</w:t>
      </w:r>
      <w:proofErr w:type="spellEnd"/>
      <w:r w:rsidRPr="00382DC1">
        <w:rPr>
          <w:rFonts w:ascii="Times New Roman" w:eastAsia="Times New Roman" w:hAnsi="Times New Roman" w:cs="Times New Roman"/>
          <w:i/>
          <w:iCs/>
          <w:kern w:val="0"/>
          <w:lang w:eastAsia="es-ES_tradnl"/>
          <w14:ligatures w14:val="none"/>
        </w:rPr>
        <w:t xml:space="preserve"> </w:t>
      </w:r>
      <w:proofErr w:type="spellStart"/>
      <w:r w:rsidRPr="00382DC1">
        <w:rPr>
          <w:rFonts w:ascii="Times New Roman" w:eastAsia="Times New Roman" w:hAnsi="Times New Roman" w:cs="Times New Roman"/>
          <w:i/>
          <w:iCs/>
          <w:kern w:val="0"/>
          <w:lang w:eastAsia="es-ES_tradnl"/>
          <w14:ligatures w14:val="none"/>
        </w:rPr>
        <w:t>between</w:t>
      </w:r>
      <w:proofErr w:type="spellEnd"/>
      <w:r w:rsidRPr="00382DC1">
        <w:rPr>
          <w:rFonts w:ascii="Times New Roman" w:eastAsia="Times New Roman" w:hAnsi="Times New Roman" w:cs="Times New Roman"/>
          <w:i/>
          <w:iCs/>
          <w:kern w:val="0"/>
          <w:lang w:eastAsia="es-ES_tradnl"/>
          <w14:ligatures w14:val="none"/>
        </w:rPr>
        <w:t xml:space="preserve"> the </w:t>
      </w:r>
      <w:proofErr w:type="spellStart"/>
      <w:r w:rsidRPr="00382DC1">
        <w:rPr>
          <w:rFonts w:ascii="Times New Roman" w:eastAsia="Times New Roman" w:hAnsi="Times New Roman" w:cs="Times New Roman"/>
          <w:i/>
          <w:iCs/>
          <w:kern w:val="0"/>
          <w:lang w:eastAsia="es-ES_tradnl"/>
          <w14:ligatures w14:val="none"/>
        </w:rPr>
        <w:t>Clinical</w:t>
      </w:r>
      <w:proofErr w:type="spellEnd"/>
      <w:r w:rsidRPr="00382DC1">
        <w:rPr>
          <w:rFonts w:ascii="Times New Roman" w:eastAsia="Times New Roman" w:hAnsi="Times New Roman" w:cs="Times New Roman"/>
          <w:i/>
          <w:iCs/>
          <w:kern w:val="0"/>
          <w:lang w:eastAsia="es-ES_tradnl"/>
          <w14:ligatures w14:val="none"/>
        </w:rPr>
        <w:t xml:space="preserve"> </w:t>
      </w:r>
      <w:proofErr w:type="spellStart"/>
      <w:r w:rsidRPr="00382DC1">
        <w:rPr>
          <w:rFonts w:ascii="Times New Roman" w:eastAsia="Times New Roman" w:hAnsi="Times New Roman" w:cs="Times New Roman"/>
          <w:i/>
          <w:iCs/>
          <w:kern w:val="0"/>
          <w:lang w:eastAsia="es-ES_tradnl"/>
          <w14:ligatures w14:val="none"/>
        </w:rPr>
        <w:t>Trials</w:t>
      </w:r>
      <w:proofErr w:type="spellEnd"/>
      <w:r w:rsidRPr="00382DC1">
        <w:rPr>
          <w:rFonts w:ascii="Times New Roman" w:eastAsia="Times New Roman" w:hAnsi="Times New Roman" w:cs="Times New Roman"/>
          <w:i/>
          <w:iCs/>
          <w:kern w:val="0"/>
          <w:lang w:eastAsia="es-ES_tradnl"/>
          <w14:ligatures w14:val="none"/>
        </w:rPr>
        <w:t xml:space="preserve"> </w:t>
      </w:r>
      <w:proofErr w:type="spellStart"/>
      <w:r w:rsidRPr="00382DC1">
        <w:rPr>
          <w:rFonts w:ascii="Times New Roman" w:eastAsia="Times New Roman" w:hAnsi="Times New Roman" w:cs="Times New Roman"/>
          <w:i/>
          <w:iCs/>
          <w:kern w:val="0"/>
          <w:lang w:eastAsia="es-ES_tradnl"/>
          <w14:ligatures w14:val="none"/>
        </w:rPr>
        <w:t>Regulation</w:t>
      </w:r>
      <w:proofErr w:type="spellEnd"/>
      <w:r w:rsidRPr="00382DC1">
        <w:rPr>
          <w:rFonts w:ascii="Times New Roman" w:eastAsia="Times New Roman" w:hAnsi="Times New Roman" w:cs="Times New Roman"/>
          <w:i/>
          <w:iCs/>
          <w:kern w:val="0"/>
          <w:lang w:eastAsia="es-ES_tradnl"/>
          <w14:ligatures w14:val="none"/>
        </w:rPr>
        <w:t xml:space="preserve"> and the GDPR</w:t>
      </w:r>
      <w:r w:rsidRPr="00382DC1">
        <w:rPr>
          <w:rFonts w:ascii="Times New Roman" w:eastAsia="Times New Roman" w:hAnsi="Times New Roman" w:cs="Times New Roman"/>
          <w:kern w:val="0"/>
          <w:lang w:eastAsia="es-ES_tradnl"/>
          <w14:ligatures w14:val="none"/>
        </w:rPr>
        <w:t xml:space="preserve">, 23 </w:t>
      </w:r>
      <w:proofErr w:type="spellStart"/>
      <w:r w:rsidRPr="00382DC1">
        <w:rPr>
          <w:rFonts w:ascii="Times New Roman" w:eastAsia="Times New Roman" w:hAnsi="Times New Roman" w:cs="Times New Roman"/>
          <w:kern w:val="0"/>
          <w:lang w:eastAsia="es-ES_tradnl"/>
          <w14:ligatures w14:val="none"/>
        </w:rPr>
        <w:t>January</w:t>
      </w:r>
      <w:proofErr w:type="spellEnd"/>
      <w:r w:rsidRPr="00382DC1">
        <w:rPr>
          <w:rFonts w:ascii="Times New Roman" w:eastAsia="Times New Roman" w:hAnsi="Times New Roman" w:cs="Times New Roman"/>
          <w:kern w:val="0"/>
          <w:lang w:eastAsia="es-ES_tradnl"/>
          <w14:ligatures w14:val="none"/>
        </w:rPr>
        <w:t xml:space="preserve"> 2019.</w:t>
      </w:r>
    </w:p>
    <w:p w14:paraId="556C0212" w14:textId="77777777" w:rsidR="00382DC1" w:rsidRPr="00382DC1" w:rsidRDefault="00382DC1" w:rsidP="00382DC1">
      <w:pPr>
        <w:spacing w:before="100" w:beforeAutospacing="1" w:after="100" w:afterAutospacing="1"/>
        <w:outlineLvl w:val="2"/>
        <w:rPr>
          <w:rFonts w:ascii="Times New Roman" w:eastAsia="Times New Roman" w:hAnsi="Times New Roman" w:cs="Times New Roman"/>
          <w:b/>
          <w:bCs/>
          <w:kern w:val="0"/>
          <w:sz w:val="27"/>
          <w:szCs w:val="27"/>
          <w:lang w:eastAsia="es-ES_tradnl"/>
          <w14:ligatures w14:val="none"/>
        </w:rPr>
      </w:pPr>
      <w:r w:rsidRPr="00382DC1">
        <w:rPr>
          <w:rFonts w:ascii="Times New Roman" w:eastAsia="Times New Roman" w:hAnsi="Times New Roman" w:cs="Times New Roman"/>
          <w:b/>
          <w:bCs/>
          <w:kern w:val="0"/>
          <w:sz w:val="27"/>
          <w:szCs w:val="27"/>
          <w:lang w:eastAsia="es-ES_tradnl"/>
          <w14:ligatures w14:val="none"/>
        </w:rPr>
        <w:t>Jurisprudencia</w:t>
      </w:r>
    </w:p>
    <w:p w14:paraId="2B9842DC" w14:textId="77777777" w:rsidR="00382DC1" w:rsidRPr="00382DC1" w:rsidRDefault="00382DC1" w:rsidP="00335053">
      <w:pPr>
        <w:spacing w:before="100" w:beforeAutospacing="1" w:after="100" w:afterAutospacing="1"/>
        <w:jc w:val="both"/>
        <w:rPr>
          <w:rFonts w:ascii="Times New Roman" w:eastAsia="Times New Roman" w:hAnsi="Times New Roman" w:cs="Times New Roman"/>
          <w:kern w:val="0"/>
          <w:lang w:eastAsia="es-ES_tradnl"/>
          <w14:ligatures w14:val="none"/>
        </w:rPr>
      </w:pPr>
      <w:r w:rsidRPr="00382DC1">
        <w:rPr>
          <w:rFonts w:ascii="Times New Roman" w:eastAsia="Times New Roman" w:hAnsi="Times New Roman" w:cs="Times New Roman"/>
          <w:kern w:val="0"/>
          <w:lang w:eastAsia="es-ES_tradnl"/>
          <w14:ligatures w14:val="none"/>
        </w:rPr>
        <w:t>Tribunal Constitucional, STC 292/2000, de 30 de noviembre.</w:t>
      </w:r>
    </w:p>
    <w:p w14:paraId="0B49AEFE" w14:textId="77777777" w:rsidR="00382DC1" w:rsidRPr="00382DC1" w:rsidRDefault="00382DC1" w:rsidP="00335053">
      <w:pPr>
        <w:spacing w:before="100" w:beforeAutospacing="1" w:after="100" w:afterAutospacing="1"/>
        <w:jc w:val="both"/>
        <w:rPr>
          <w:rFonts w:ascii="Times New Roman" w:eastAsia="Times New Roman" w:hAnsi="Times New Roman" w:cs="Times New Roman"/>
          <w:kern w:val="0"/>
          <w:lang w:eastAsia="es-ES_tradnl"/>
          <w14:ligatures w14:val="none"/>
        </w:rPr>
      </w:pPr>
      <w:r w:rsidRPr="00382DC1">
        <w:rPr>
          <w:rFonts w:ascii="Times New Roman" w:eastAsia="Times New Roman" w:hAnsi="Times New Roman" w:cs="Times New Roman"/>
          <w:kern w:val="0"/>
          <w:lang w:eastAsia="es-ES_tradnl"/>
          <w14:ligatures w14:val="none"/>
        </w:rPr>
        <w:t xml:space="preserve">Tribunal de Justicia de la Unión Europea, sentencia de 20 de diciembre de 2017, </w:t>
      </w:r>
      <w:proofErr w:type="spellStart"/>
      <w:r w:rsidRPr="00382DC1">
        <w:rPr>
          <w:rFonts w:ascii="Times New Roman" w:eastAsia="Times New Roman" w:hAnsi="Times New Roman" w:cs="Times New Roman"/>
          <w:i/>
          <w:iCs/>
          <w:kern w:val="0"/>
          <w:lang w:eastAsia="es-ES_tradnl"/>
          <w14:ligatures w14:val="none"/>
        </w:rPr>
        <w:t>Nowak</w:t>
      </w:r>
      <w:proofErr w:type="spellEnd"/>
      <w:r w:rsidRPr="00382DC1">
        <w:rPr>
          <w:rFonts w:ascii="Times New Roman" w:eastAsia="Times New Roman" w:hAnsi="Times New Roman" w:cs="Times New Roman"/>
          <w:kern w:val="0"/>
          <w:lang w:eastAsia="es-ES_tradnl"/>
          <w14:ligatures w14:val="none"/>
        </w:rPr>
        <w:t>, C-434/16.</w:t>
      </w:r>
    </w:p>
    <w:p w14:paraId="24CAFB2D" w14:textId="77777777" w:rsidR="00382DC1" w:rsidRPr="00382DC1" w:rsidRDefault="00382DC1" w:rsidP="00335053">
      <w:pPr>
        <w:spacing w:before="100" w:beforeAutospacing="1" w:after="100" w:afterAutospacing="1"/>
        <w:jc w:val="both"/>
        <w:rPr>
          <w:rFonts w:ascii="Times New Roman" w:eastAsia="Times New Roman" w:hAnsi="Times New Roman" w:cs="Times New Roman"/>
          <w:kern w:val="0"/>
          <w:lang w:eastAsia="es-ES_tradnl"/>
          <w14:ligatures w14:val="none"/>
        </w:rPr>
      </w:pPr>
      <w:r w:rsidRPr="00382DC1">
        <w:rPr>
          <w:rFonts w:ascii="Times New Roman" w:eastAsia="Times New Roman" w:hAnsi="Times New Roman" w:cs="Times New Roman"/>
          <w:kern w:val="0"/>
          <w:lang w:eastAsia="es-ES_tradnl"/>
          <w14:ligatures w14:val="none"/>
        </w:rPr>
        <w:t xml:space="preserve">Tribunal de Justicia de la Unión Europea, sentencia de 1 de agosto de 2022, </w:t>
      </w:r>
      <w:r w:rsidRPr="00382DC1">
        <w:rPr>
          <w:rFonts w:ascii="Times New Roman" w:eastAsia="Times New Roman" w:hAnsi="Times New Roman" w:cs="Times New Roman"/>
          <w:i/>
          <w:iCs/>
          <w:kern w:val="0"/>
          <w:lang w:eastAsia="es-ES_tradnl"/>
          <w14:ligatures w14:val="none"/>
        </w:rPr>
        <w:t xml:space="preserve">OT contra </w:t>
      </w:r>
      <w:proofErr w:type="spellStart"/>
      <w:r w:rsidRPr="00382DC1">
        <w:rPr>
          <w:rFonts w:ascii="Times New Roman" w:eastAsia="Times New Roman" w:hAnsi="Times New Roman" w:cs="Times New Roman"/>
          <w:i/>
          <w:iCs/>
          <w:kern w:val="0"/>
          <w:lang w:eastAsia="es-ES_tradnl"/>
          <w14:ligatures w14:val="none"/>
        </w:rPr>
        <w:t>Vyriausioji</w:t>
      </w:r>
      <w:proofErr w:type="spellEnd"/>
      <w:r w:rsidRPr="00382DC1">
        <w:rPr>
          <w:rFonts w:ascii="Times New Roman" w:eastAsia="Times New Roman" w:hAnsi="Times New Roman" w:cs="Times New Roman"/>
          <w:i/>
          <w:iCs/>
          <w:kern w:val="0"/>
          <w:lang w:eastAsia="es-ES_tradnl"/>
          <w14:ligatures w14:val="none"/>
        </w:rPr>
        <w:t xml:space="preserve"> </w:t>
      </w:r>
      <w:proofErr w:type="spellStart"/>
      <w:r w:rsidRPr="00382DC1">
        <w:rPr>
          <w:rFonts w:ascii="Times New Roman" w:eastAsia="Times New Roman" w:hAnsi="Times New Roman" w:cs="Times New Roman"/>
          <w:i/>
          <w:iCs/>
          <w:kern w:val="0"/>
          <w:lang w:eastAsia="es-ES_tradnl"/>
          <w14:ligatures w14:val="none"/>
        </w:rPr>
        <w:t>tarnybinės</w:t>
      </w:r>
      <w:proofErr w:type="spellEnd"/>
      <w:r w:rsidRPr="00382DC1">
        <w:rPr>
          <w:rFonts w:ascii="Times New Roman" w:eastAsia="Times New Roman" w:hAnsi="Times New Roman" w:cs="Times New Roman"/>
          <w:i/>
          <w:iCs/>
          <w:kern w:val="0"/>
          <w:lang w:eastAsia="es-ES_tradnl"/>
          <w14:ligatures w14:val="none"/>
        </w:rPr>
        <w:t xml:space="preserve"> </w:t>
      </w:r>
      <w:proofErr w:type="spellStart"/>
      <w:r w:rsidRPr="00382DC1">
        <w:rPr>
          <w:rFonts w:ascii="Times New Roman" w:eastAsia="Times New Roman" w:hAnsi="Times New Roman" w:cs="Times New Roman"/>
          <w:i/>
          <w:iCs/>
          <w:kern w:val="0"/>
          <w:lang w:eastAsia="es-ES_tradnl"/>
          <w14:ligatures w14:val="none"/>
        </w:rPr>
        <w:t>etikos</w:t>
      </w:r>
      <w:proofErr w:type="spellEnd"/>
      <w:r w:rsidRPr="00382DC1">
        <w:rPr>
          <w:rFonts w:ascii="Times New Roman" w:eastAsia="Times New Roman" w:hAnsi="Times New Roman" w:cs="Times New Roman"/>
          <w:i/>
          <w:iCs/>
          <w:kern w:val="0"/>
          <w:lang w:eastAsia="es-ES_tradnl"/>
          <w14:ligatures w14:val="none"/>
        </w:rPr>
        <w:t xml:space="preserve"> </w:t>
      </w:r>
      <w:proofErr w:type="spellStart"/>
      <w:r w:rsidRPr="00382DC1">
        <w:rPr>
          <w:rFonts w:ascii="Times New Roman" w:eastAsia="Times New Roman" w:hAnsi="Times New Roman" w:cs="Times New Roman"/>
          <w:i/>
          <w:iCs/>
          <w:kern w:val="0"/>
          <w:lang w:eastAsia="es-ES_tradnl"/>
          <w14:ligatures w14:val="none"/>
        </w:rPr>
        <w:t>komisija</w:t>
      </w:r>
      <w:proofErr w:type="spellEnd"/>
      <w:r w:rsidRPr="00382DC1">
        <w:rPr>
          <w:rFonts w:ascii="Times New Roman" w:eastAsia="Times New Roman" w:hAnsi="Times New Roman" w:cs="Times New Roman"/>
          <w:kern w:val="0"/>
          <w:lang w:eastAsia="es-ES_tradnl"/>
          <w14:ligatures w14:val="none"/>
        </w:rPr>
        <w:t>, C-184/20.</w:t>
      </w:r>
    </w:p>
    <w:p w14:paraId="1A12A9F8" w14:textId="0DE0AA2C" w:rsidR="00382DC1" w:rsidRPr="00382DC1" w:rsidRDefault="00382DC1" w:rsidP="00382DC1">
      <w:pPr>
        <w:rPr>
          <w:rFonts w:ascii="Times New Roman" w:eastAsia="Times New Roman" w:hAnsi="Times New Roman" w:cs="Times New Roman"/>
          <w:kern w:val="0"/>
          <w:lang w:eastAsia="es-ES_tradnl"/>
          <w14:ligatures w14:val="none"/>
        </w:rPr>
      </w:pPr>
    </w:p>
    <w:p w14:paraId="4AFD3836" w14:textId="77777777" w:rsidR="005351EF" w:rsidRPr="00CB0785" w:rsidRDefault="005351EF" w:rsidP="00DB1208">
      <w:pPr>
        <w:spacing w:before="100" w:beforeAutospacing="1" w:after="100" w:afterAutospacing="1"/>
        <w:jc w:val="both"/>
        <w:rPr>
          <w:rFonts w:ascii="Times New Roman" w:eastAsia="Times New Roman" w:hAnsi="Times New Roman" w:cs="Times New Roman"/>
          <w:kern w:val="0"/>
          <w:lang w:eastAsia="es-ES_tradnl"/>
          <w14:ligatures w14:val="none"/>
        </w:rPr>
      </w:pPr>
    </w:p>
    <w:p w14:paraId="5AB0EF04" w14:textId="3AF84AED" w:rsidR="00CB0785" w:rsidRPr="00CB0785" w:rsidRDefault="00CB0785" w:rsidP="00DB1208">
      <w:pPr>
        <w:jc w:val="both"/>
        <w:rPr>
          <w:rFonts w:ascii="Times New Roman" w:eastAsia="Times New Roman" w:hAnsi="Times New Roman" w:cs="Times New Roman"/>
          <w:kern w:val="0"/>
          <w:lang w:eastAsia="es-ES_tradnl"/>
          <w14:ligatures w14:val="none"/>
        </w:rPr>
      </w:pPr>
    </w:p>
    <w:p w14:paraId="5A8AE94D" w14:textId="77777777" w:rsidR="00CB0785" w:rsidRDefault="00CB0785" w:rsidP="00DB1208">
      <w:pPr>
        <w:spacing w:before="100" w:beforeAutospacing="1" w:after="100" w:afterAutospacing="1"/>
        <w:jc w:val="both"/>
        <w:rPr>
          <w:rFonts w:ascii="Times New Roman" w:hAnsi="Times New Roman" w:cs="Times New Roman"/>
        </w:rPr>
      </w:pPr>
    </w:p>
    <w:p w14:paraId="56D87376" w14:textId="77777777" w:rsidR="00CB0785" w:rsidRPr="00556E5A" w:rsidRDefault="00CB0785" w:rsidP="00DB1208">
      <w:pPr>
        <w:spacing w:before="100" w:beforeAutospacing="1" w:after="100" w:afterAutospacing="1"/>
        <w:jc w:val="both"/>
        <w:rPr>
          <w:rFonts w:ascii="Times New Roman" w:eastAsia="Times New Roman" w:hAnsi="Times New Roman" w:cs="Times New Roman"/>
          <w:kern w:val="0"/>
          <w:lang w:eastAsia="es-ES_tradnl"/>
          <w14:ligatures w14:val="none"/>
        </w:rPr>
      </w:pPr>
    </w:p>
    <w:p w14:paraId="127AA93F" w14:textId="77777777" w:rsidR="00A60A94" w:rsidRPr="00510B4E" w:rsidRDefault="00A60A94" w:rsidP="00556E5A">
      <w:pPr>
        <w:spacing w:line="480" w:lineRule="auto"/>
        <w:jc w:val="both"/>
      </w:pPr>
    </w:p>
    <w:sectPr w:rsidR="00A60A94" w:rsidRPr="00510B4E">
      <w:footerReference w:type="even"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66A00" w14:textId="77777777" w:rsidR="00D2149C" w:rsidRDefault="00D2149C" w:rsidP="00510B4E">
      <w:r>
        <w:separator/>
      </w:r>
    </w:p>
  </w:endnote>
  <w:endnote w:type="continuationSeparator" w:id="0">
    <w:p w14:paraId="3062F177" w14:textId="77777777" w:rsidR="00D2149C" w:rsidRDefault="00D2149C" w:rsidP="00510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525589670"/>
      <w:docPartObj>
        <w:docPartGallery w:val="Page Numbers (Bottom of Page)"/>
        <w:docPartUnique/>
      </w:docPartObj>
    </w:sdtPr>
    <w:sdtContent>
      <w:p w14:paraId="63A9F518" w14:textId="68B5AB76" w:rsidR="00F12878" w:rsidRDefault="00F12878" w:rsidP="004A13BC">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77466BFE" w14:textId="77777777" w:rsidR="00F12878" w:rsidRDefault="00F12878" w:rsidP="00F1287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12979031"/>
      <w:docPartObj>
        <w:docPartGallery w:val="Page Numbers (Bottom of Page)"/>
        <w:docPartUnique/>
      </w:docPartObj>
    </w:sdtPr>
    <w:sdtContent>
      <w:p w14:paraId="1E1C50AD" w14:textId="758997D2" w:rsidR="00F12878" w:rsidRDefault="00F12878" w:rsidP="004A13BC">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11</w:t>
        </w:r>
        <w:r>
          <w:rPr>
            <w:rStyle w:val="Nmerodepgina"/>
          </w:rPr>
          <w:fldChar w:fldCharType="end"/>
        </w:r>
      </w:p>
    </w:sdtContent>
  </w:sdt>
  <w:p w14:paraId="5839025B" w14:textId="77777777" w:rsidR="00F12878" w:rsidRDefault="00F12878" w:rsidP="00F12878">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941C8" w14:textId="77777777" w:rsidR="00D2149C" w:rsidRDefault="00D2149C" w:rsidP="00510B4E">
      <w:r>
        <w:separator/>
      </w:r>
    </w:p>
  </w:footnote>
  <w:footnote w:type="continuationSeparator" w:id="0">
    <w:p w14:paraId="55C9A71E" w14:textId="77777777" w:rsidR="00D2149C" w:rsidRDefault="00D2149C" w:rsidP="00510B4E">
      <w:r>
        <w:continuationSeparator/>
      </w:r>
    </w:p>
  </w:footnote>
  <w:footnote w:id="1">
    <w:p w14:paraId="1DA20A25" w14:textId="79918473" w:rsidR="00823484" w:rsidRPr="00CD7F6F" w:rsidRDefault="00823484" w:rsidP="00A60BDC">
      <w:pPr>
        <w:spacing w:before="60" w:after="100" w:afterAutospacing="1"/>
        <w:rPr>
          <w:rFonts w:ascii="Times New Roman" w:eastAsia="Times New Roman" w:hAnsi="Times New Roman" w:cs="Times New Roman"/>
          <w:kern w:val="0"/>
          <w:sz w:val="18"/>
          <w:szCs w:val="18"/>
          <w:lang w:eastAsia="es-ES_tradnl"/>
          <w14:ligatures w14:val="none"/>
        </w:rPr>
      </w:pPr>
      <w:r>
        <w:rPr>
          <w:rStyle w:val="Refdenotaalpie"/>
        </w:rPr>
        <w:footnoteRef/>
      </w:r>
      <w:r>
        <w:t xml:space="preserve"> </w:t>
      </w:r>
      <w:r w:rsidRPr="00823484">
        <w:rPr>
          <w:rFonts w:ascii="Times New Roman" w:eastAsia="Times New Roman" w:hAnsi="Times New Roman" w:cs="Times New Roman"/>
          <w:kern w:val="0"/>
          <w:sz w:val="18"/>
          <w:szCs w:val="18"/>
          <w:lang w:eastAsia="es-ES_tradnl"/>
          <w14:ligatures w14:val="none"/>
        </w:rPr>
        <w:t>Artículo 4.15 y Considerando 35 del Reglamento (UE) 2016/679 del Parlamento Europeo y del Consejo, de 27 de abril de 2016.</w:t>
      </w:r>
    </w:p>
  </w:footnote>
  <w:footnote w:id="2">
    <w:p w14:paraId="7E89ADC0" w14:textId="282EBB65" w:rsidR="00823484" w:rsidRPr="00823484" w:rsidRDefault="00823484" w:rsidP="00A60BDC">
      <w:pPr>
        <w:pStyle w:val="Textonotapie"/>
        <w:spacing w:before="60"/>
        <w:rPr>
          <w:lang w:val="es-ES_tradnl"/>
        </w:rPr>
      </w:pPr>
      <w:r w:rsidRPr="004C6F57">
        <w:rPr>
          <w:rStyle w:val="Refdenotaalpie"/>
          <w:rFonts w:ascii="Times New Roman" w:hAnsi="Times New Roman" w:cs="Times New Roman" w:hint="cs"/>
          <w:sz w:val="18"/>
          <w:szCs w:val="18"/>
        </w:rPr>
        <w:footnoteRef/>
      </w:r>
      <w:r w:rsidRPr="004C6F57">
        <w:rPr>
          <w:rFonts w:ascii="Times New Roman" w:hAnsi="Times New Roman" w:cs="Times New Roman" w:hint="cs"/>
          <w:sz w:val="18"/>
          <w:szCs w:val="18"/>
        </w:rPr>
        <w:t xml:space="preserve"> </w:t>
      </w:r>
      <w:r w:rsidRPr="00823484">
        <w:rPr>
          <w:rFonts w:ascii="Times New Roman" w:eastAsia="Times New Roman" w:hAnsi="Times New Roman" w:cs="Times New Roman" w:hint="cs"/>
          <w:kern w:val="0"/>
          <w:sz w:val="18"/>
          <w:szCs w:val="18"/>
          <w:lang w:eastAsia="es-ES_tradnl"/>
          <w14:ligatures w14:val="none"/>
        </w:rPr>
        <w:t xml:space="preserve">REBOLLO DELGADO, L., </w:t>
      </w:r>
      <w:r w:rsidRPr="00823484">
        <w:rPr>
          <w:rFonts w:ascii="Times New Roman" w:eastAsia="Times New Roman" w:hAnsi="Times New Roman" w:cs="Times New Roman" w:hint="cs"/>
          <w:i/>
          <w:iCs/>
          <w:kern w:val="0"/>
          <w:sz w:val="18"/>
          <w:szCs w:val="18"/>
          <w:lang w:eastAsia="es-ES_tradnl"/>
          <w14:ligatures w14:val="none"/>
        </w:rPr>
        <w:t>Derechos digitales</w:t>
      </w:r>
      <w:r w:rsidRPr="00823484">
        <w:rPr>
          <w:rFonts w:ascii="Times New Roman" w:eastAsia="Times New Roman" w:hAnsi="Times New Roman" w:cs="Times New Roman" w:hint="cs"/>
          <w:kern w:val="0"/>
          <w:sz w:val="18"/>
          <w:szCs w:val="18"/>
          <w:lang w:eastAsia="es-ES_tradnl"/>
          <w14:ligatures w14:val="none"/>
        </w:rPr>
        <w:t>, Dykinson, Madrid, 2019, pp. 285-291</w:t>
      </w:r>
      <w:r w:rsidRPr="00823484">
        <w:rPr>
          <w:rFonts w:ascii="Times New Roman" w:eastAsia="Times New Roman" w:hAnsi="Times New Roman" w:cs="Times New Roman"/>
          <w:kern w:val="0"/>
          <w:lang w:eastAsia="es-ES_tradnl"/>
          <w14:ligatures w14:val="none"/>
        </w:rPr>
        <w:t>.</w:t>
      </w:r>
    </w:p>
  </w:footnote>
  <w:footnote w:id="3">
    <w:p w14:paraId="410736B3" w14:textId="2BB6DAAF" w:rsidR="00823484" w:rsidRPr="00823484" w:rsidRDefault="00823484" w:rsidP="00A95920">
      <w:pPr>
        <w:pStyle w:val="Textonotapie"/>
        <w:spacing w:before="60"/>
        <w:jc w:val="both"/>
        <w:rPr>
          <w:lang w:val="es-ES_tradnl"/>
        </w:rPr>
      </w:pPr>
      <w:r>
        <w:rPr>
          <w:rStyle w:val="Refdenotaalpie"/>
        </w:rPr>
        <w:footnoteRef/>
      </w:r>
      <w:r>
        <w:t xml:space="preserve"> </w:t>
      </w:r>
      <w:r w:rsidRPr="00823484">
        <w:rPr>
          <w:rFonts w:ascii="Times New Roman" w:eastAsia="Times New Roman" w:hAnsi="Times New Roman" w:cs="Times New Roman"/>
          <w:kern w:val="0"/>
          <w:lang w:eastAsia="es-ES_tradnl"/>
          <w14:ligatures w14:val="none"/>
        </w:rPr>
        <w:t xml:space="preserve"> TRONCOSO REIGADA, A., </w:t>
      </w:r>
      <w:r w:rsidRPr="00823484">
        <w:rPr>
          <w:rFonts w:ascii="Times New Roman" w:eastAsia="Times New Roman" w:hAnsi="Times New Roman" w:cs="Times New Roman"/>
          <w:i/>
          <w:iCs/>
          <w:kern w:val="0"/>
          <w:lang w:eastAsia="es-ES_tradnl"/>
          <w14:ligatures w14:val="none"/>
        </w:rPr>
        <w:t>La protección de datos personales. En busca del equilibrio</w:t>
      </w:r>
      <w:r w:rsidRPr="00823484">
        <w:rPr>
          <w:rFonts w:ascii="Times New Roman" w:eastAsia="Times New Roman" w:hAnsi="Times New Roman" w:cs="Times New Roman"/>
          <w:kern w:val="0"/>
          <w:lang w:eastAsia="es-ES_tradnl"/>
          <w14:ligatures w14:val="none"/>
        </w:rPr>
        <w:t>, Tirant lo Blanch, Valencia, 2010, pp. 305-315.</w:t>
      </w:r>
    </w:p>
  </w:footnote>
  <w:footnote w:id="4">
    <w:p w14:paraId="7D52834B" w14:textId="20F04288" w:rsidR="00823484" w:rsidRPr="00823484" w:rsidRDefault="00823484" w:rsidP="00A95920">
      <w:pPr>
        <w:pStyle w:val="Textonotapie"/>
        <w:spacing w:before="60"/>
        <w:jc w:val="both"/>
        <w:rPr>
          <w:lang w:val="es-ES_tradnl"/>
        </w:rPr>
      </w:pPr>
      <w:r>
        <w:rPr>
          <w:rStyle w:val="Refdenotaalpie"/>
        </w:rPr>
        <w:footnoteRef/>
      </w:r>
      <w:r>
        <w:t xml:space="preserve"> </w:t>
      </w:r>
      <w:r w:rsidRPr="00823484">
        <w:rPr>
          <w:rFonts w:ascii="Times New Roman" w:eastAsia="Times New Roman" w:hAnsi="Times New Roman" w:cs="Times New Roman"/>
          <w:kern w:val="0"/>
          <w:lang w:eastAsia="es-ES_tradnl"/>
          <w14:ligatures w14:val="none"/>
        </w:rPr>
        <w:t xml:space="preserve"> STJUE de 20 de diciembre de 2017, </w:t>
      </w:r>
      <w:proofErr w:type="spellStart"/>
      <w:r w:rsidRPr="00823484">
        <w:rPr>
          <w:rFonts w:ascii="Times New Roman" w:eastAsia="Times New Roman" w:hAnsi="Times New Roman" w:cs="Times New Roman"/>
          <w:i/>
          <w:iCs/>
          <w:kern w:val="0"/>
          <w:lang w:eastAsia="es-ES_tradnl"/>
          <w14:ligatures w14:val="none"/>
        </w:rPr>
        <w:t>Nowak</w:t>
      </w:r>
      <w:proofErr w:type="spellEnd"/>
      <w:r w:rsidRPr="00823484">
        <w:rPr>
          <w:rFonts w:ascii="Times New Roman" w:eastAsia="Times New Roman" w:hAnsi="Times New Roman" w:cs="Times New Roman"/>
          <w:kern w:val="0"/>
          <w:lang w:eastAsia="es-ES_tradnl"/>
          <w14:ligatures w14:val="none"/>
        </w:rPr>
        <w:t>, asunto C-434/16, ECLI:EU:C:2017:994.</w:t>
      </w:r>
    </w:p>
  </w:footnote>
  <w:footnote w:id="5">
    <w:p w14:paraId="07B9F927" w14:textId="0E03CECB" w:rsidR="00823484" w:rsidRPr="00823484" w:rsidRDefault="00823484" w:rsidP="00A95920">
      <w:pPr>
        <w:pStyle w:val="Textonotapie"/>
        <w:spacing w:before="60"/>
        <w:jc w:val="both"/>
        <w:rPr>
          <w:lang w:val="es-ES_tradnl"/>
        </w:rPr>
      </w:pPr>
      <w:r>
        <w:rPr>
          <w:rStyle w:val="Refdenotaalpie"/>
        </w:rPr>
        <w:footnoteRef/>
      </w:r>
      <w:r>
        <w:t xml:space="preserve"> </w:t>
      </w:r>
      <w:r w:rsidRPr="00823484">
        <w:rPr>
          <w:rFonts w:ascii="Times New Roman" w:eastAsia="Times New Roman" w:hAnsi="Times New Roman" w:cs="Times New Roman"/>
          <w:kern w:val="0"/>
          <w:lang w:eastAsia="es-ES_tradnl"/>
          <w14:ligatures w14:val="none"/>
        </w:rPr>
        <w:t xml:space="preserve"> STJUE de 1 de agosto de 2022, </w:t>
      </w:r>
      <w:r w:rsidRPr="00823484">
        <w:rPr>
          <w:rFonts w:ascii="Times New Roman" w:eastAsia="Times New Roman" w:hAnsi="Times New Roman" w:cs="Times New Roman"/>
          <w:i/>
          <w:iCs/>
          <w:kern w:val="0"/>
          <w:lang w:eastAsia="es-ES_tradnl"/>
          <w14:ligatures w14:val="none"/>
        </w:rPr>
        <w:t xml:space="preserve">OT contra </w:t>
      </w:r>
      <w:proofErr w:type="spellStart"/>
      <w:r w:rsidRPr="00823484">
        <w:rPr>
          <w:rFonts w:ascii="Times New Roman" w:eastAsia="Times New Roman" w:hAnsi="Times New Roman" w:cs="Times New Roman"/>
          <w:i/>
          <w:iCs/>
          <w:kern w:val="0"/>
          <w:lang w:eastAsia="es-ES_tradnl"/>
          <w14:ligatures w14:val="none"/>
        </w:rPr>
        <w:t>Vyriausioji</w:t>
      </w:r>
      <w:proofErr w:type="spellEnd"/>
      <w:r w:rsidRPr="00823484">
        <w:rPr>
          <w:rFonts w:ascii="Times New Roman" w:eastAsia="Times New Roman" w:hAnsi="Times New Roman" w:cs="Times New Roman"/>
          <w:i/>
          <w:iCs/>
          <w:kern w:val="0"/>
          <w:lang w:eastAsia="es-ES_tradnl"/>
          <w14:ligatures w14:val="none"/>
        </w:rPr>
        <w:t xml:space="preserve"> </w:t>
      </w:r>
      <w:proofErr w:type="spellStart"/>
      <w:r w:rsidRPr="00823484">
        <w:rPr>
          <w:rFonts w:ascii="Times New Roman" w:eastAsia="Times New Roman" w:hAnsi="Times New Roman" w:cs="Times New Roman"/>
          <w:i/>
          <w:iCs/>
          <w:kern w:val="0"/>
          <w:lang w:eastAsia="es-ES_tradnl"/>
          <w14:ligatures w14:val="none"/>
        </w:rPr>
        <w:t>tarnybinės</w:t>
      </w:r>
      <w:proofErr w:type="spellEnd"/>
      <w:r w:rsidRPr="00823484">
        <w:rPr>
          <w:rFonts w:ascii="Times New Roman" w:eastAsia="Times New Roman" w:hAnsi="Times New Roman" w:cs="Times New Roman"/>
          <w:i/>
          <w:iCs/>
          <w:kern w:val="0"/>
          <w:lang w:eastAsia="es-ES_tradnl"/>
          <w14:ligatures w14:val="none"/>
        </w:rPr>
        <w:t xml:space="preserve"> </w:t>
      </w:r>
      <w:proofErr w:type="spellStart"/>
      <w:r w:rsidRPr="00823484">
        <w:rPr>
          <w:rFonts w:ascii="Times New Roman" w:eastAsia="Times New Roman" w:hAnsi="Times New Roman" w:cs="Times New Roman"/>
          <w:i/>
          <w:iCs/>
          <w:kern w:val="0"/>
          <w:lang w:eastAsia="es-ES_tradnl"/>
          <w14:ligatures w14:val="none"/>
        </w:rPr>
        <w:t>etikos</w:t>
      </w:r>
      <w:proofErr w:type="spellEnd"/>
      <w:r w:rsidRPr="00823484">
        <w:rPr>
          <w:rFonts w:ascii="Times New Roman" w:eastAsia="Times New Roman" w:hAnsi="Times New Roman" w:cs="Times New Roman"/>
          <w:i/>
          <w:iCs/>
          <w:kern w:val="0"/>
          <w:lang w:eastAsia="es-ES_tradnl"/>
          <w14:ligatures w14:val="none"/>
        </w:rPr>
        <w:t xml:space="preserve"> </w:t>
      </w:r>
      <w:proofErr w:type="spellStart"/>
      <w:r w:rsidRPr="00823484">
        <w:rPr>
          <w:rFonts w:ascii="Times New Roman" w:eastAsia="Times New Roman" w:hAnsi="Times New Roman" w:cs="Times New Roman"/>
          <w:i/>
          <w:iCs/>
          <w:kern w:val="0"/>
          <w:lang w:eastAsia="es-ES_tradnl"/>
          <w14:ligatures w14:val="none"/>
        </w:rPr>
        <w:t>komisija</w:t>
      </w:r>
      <w:proofErr w:type="spellEnd"/>
      <w:r w:rsidRPr="00823484">
        <w:rPr>
          <w:rFonts w:ascii="Times New Roman" w:eastAsia="Times New Roman" w:hAnsi="Times New Roman" w:cs="Times New Roman"/>
          <w:kern w:val="0"/>
          <w:lang w:eastAsia="es-ES_tradnl"/>
          <w14:ligatures w14:val="none"/>
        </w:rPr>
        <w:t>, asunto C-184/20, ECLI:EU:C:2022:601.</w:t>
      </w:r>
    </w:p>
  </w:footnote>
  <w:footnote w:id="6">
    <w:p w14:paraId="4B805749" w14:textId="5DE2F55A" w:rsidR="004C6F57" w:rsidRPr="004975B6" w:rsidRDefault="004C6F57" w:rsidP="00A95920">
      <w:pPr>
        <w:spacing w:before="60" w:after="100" w:afterAutospacing="1"/>
        <w:jc w:val="both"/>
        <w:rPr>
          <w:rFonts w:ascii="Times New Roman" w:eastAsia="Times New Roman" w:hAnsi="Times New Roman" w:cs="Times New Roman"/>
          <w:kern w:val="0"/>
          <w:lang w:eastAsia="es-ES_tradnl"/>
          <w14:ligatures w14:val="none"/>
        </w:rPr>
      </w:pPr>
      <w:r>
        <w:rPr>
          <w:rStyle w:val="Refdenotaalpie"/>
        </w:rPr>
        <w:footnoteRef/>
      </w:r>
      <w:r>
        <w:t xml:space="preserve"> </w:t>
      </w:r>
      <w:r w:rsidRPr="00823484">
        <w:rPr>
          <w:rFonts w:ascii="Times New Roman" w:eastAsia="Times New Roman" w:hAnsi="Times New Roman" w:cs="Times New Roman"/>
          <w:kern w:val="0"/>
          <w:sz w:val="18"/>
          <w:szCs w:val="18"/>
          <w:lang w:eastAsia="es-ES_tradnl"/>
          <w14:ligatures w14:val="none"/>
        </w:rPr>
        <w:t xml:space="preserve">DE HERT, P.; PAPAKONSTANTINOU, V., “The new General Data </w:t>
      </w:r>
      <w:proofErr w:type="spellStart"/>
      <w:r w:rsidRPr="00823484">
        <w:rPr>
          <w:rFonts w:ascii="Times New Roman" w:eastAsia="Times New Roman" w:hAnsi="Times New Roman" w:cs="Times New Roman"/>
          <w:kern w:val="0"/>
          <w:sz w:val="18"/>
          <w:szCs w:val="18"/>
          <w:lang w:eastAsia="es-ES_tradnl"/>
          <w14:ligatures w14:val="none"/>
        </w:rPr>
        <w:t>Protection</w:t>
      </w:r>
      <w:proofErr w:type="spellEnd"/>
      <w:r w:rsidRPr="00823484">
        <w:rPr>
          <w:rFonts w:ascii="Times New Roman" w:eastAsia="Times New Roman" w:hAnsi="Times New Roman" w:cs="Times New Roman"/>
          <w:kern w:val="0"/>
          <w:sz w:val="18"/>
          <w:szCs w:val="18"/>
          <w:lang w:eastAsia="es-ES_tradnl"/>
          <w14:ligatures w14:val="none"/>
        </w:rPr>
        <w:t xml:space="preserve"> </w:t>
      </w:r>
      <w:proofErr w:type="spellStart"/>
      <w:r w:rsidRPr="00823484">
        <w:rPr>
          <w:rFonts w:ascii="Times New Roman" w:eastAsia="Times New Roman" w:hAnsi="Times New Roman" w:cs="Times New Roman"/>
          <w:kern w:val="0"/>
          <w:sz w:val="18"/>
          <w:szCs w:val="18"/>
          <w:lang w:eastAsia="es-ES_tradnl"/>
          <w14:ligatures w14:val="none"/>
        </w:rPr>
        <w:t>Regulation</w:t>
      </w:r>
      <w:proofErr w:type="spellEnd"/>
      <w:r w:rsidRPr="00823484">
        <w:rPr>
          <w:rFonts w:ascii="Times New Roman" w:eastAsia="Times New Roman" w:hAnsi="Times New Roman" w:cs="Times New Roman"/>
          <w:kern w:val="0"/>
          <w:sz w:val="18"/>
          <w:szCs w:val="18"/>
          <w:lang w:eastAsia="es-ES_tradnl"/>
          <w14:ligatures w14:val="none"/>
        </w:rPr>
        <w:t xml:space="preserve">: </w:t>
      </w:r>
      <w:proofErr w:type="spellStart"/>
      <w:proofErr w:type="gramStart"/>
      <w:r w:rsidRPr="00823484">
        <w:rPr>
          <w:rFonts w:ascii="Times New Roman" w:eastAsia="Times New Roman" w:hAnsi="Times New Roman" w:cs="Times New Roman"/>
          <w:kern w:val="0"/>
          <w:sz w:val="18"/>
          <w:szCs w:val="18"/>
          <w:lang w:eastAsia="es-ES_tradnl"/>
          <w14:ligatures w14:val="none"/>
        </w:rPr>
        <w:t>Still</w:t>
      </w:r>
      <w:proofErr w:type="spellEnd"/>
      <w:r w:rsidRPr="00823484">
        <w:rPr>
          <w:rFonts w:ascii="Times New Roman" w:eastAsia="Times New Roman" w:hAnsi="Times New Roman" w:cs="Times New Roman"/>
          <w:kern w:val="0"/>
          <w:sz w:val="18"/>
          <w:szCs w:val="18"/>
          <w:lang w:eastAsia="es-ES_tradnl"/>
          <w14:ligatures w14:val="none"/>
        </w:rPr>
        <w:t xml:space="preserve"> a </w:t>
      </w:r>
      <w:proofErr w:type="spellStart"/>
      <w:r w:rsidRPr="00823484">
        <w:rPr>
          <w:rFonts w:ascii="Times New Roman" w:eastAsia="Times New Roman" w:hAnsi="Times New Roman" w:cs="Times New Roman"/>
          <w:kern w:val="0"/>
          <w:sz w:val="18"/>
          <w:szCs w:val="18"/>
          <w:lang w:eastAsia="es-ES_tradnl"/>
          <w14:ligatures w14:val="none"/>
        </w:rPr>
        <w:t>sound</w:t>
      </w:r>
      <w:proofErr w:type="spellEnd"/>
      <w:r w:rsidRPr="00823484">
        <w:rPr>
          <w:rFonts w:ascii="Times New Roman" w:eastAsia="Times New Roman" w:hAnsi="Times New Roman" w:cs="Times New Roman"/>
          <w:kern w:val="0"/>
          <w:sz w:val="18"/>
          <w:szCs w:val="18"/>
          <w:lang w:eastAsia="es-ES_tradnl"/>
          <w14:ligatures w14:val="none"/>
        </w:rPr>
        <w:t xml:space="preserve"> </w:t>
      </w:r>
      <w:proofErr w:type="spellStart"/>
      <w:r w:rsidRPr="00823484">
        <w:rPr>
          <w:rFonts w:ascii="Times New Roman" w:eastAsia="Times New Roman" w:hAnsi="Times New Roman" w:cs="Times New Roman"/>
          <w:kern w:val="0"/>
          <w:sz w:val="18"/>
          <w:szCs w:val="18"/>
          <w:lang w:eastAsia="es-ES_tradnl"/>
          <w14:ligatures w14:val="none"/>
        </w:rPr>
        <w:t>system</w:t>
      </w:r>
      <w:proofErr w:type="spellEnd"/>
      <w:r w:rsidRPr="00823484">
        <w:rPr>
          <w:rFonts w:ascii="Times New Roman" w:eastAsia="Times New Roman" w:hAnsi="Times New Roman" w:cs="Times New Roman"/>
          <w:kern w:val="0"/>
          <w:sz w:val="18"/>
          <w:szCs w:val="18"/>
          <w:lang w:eastAsia="es-ES_tradnl"/>
          <w14:ligatures w14:val="none"/>
        </w:rPr>
        <w:t xml:space="preserve"> </w:t>
      </w:r>
      <w:proofErr w:type="spellStart"/>
      <w:r w:rsidRPr="00823484">
        <w:rPr>
          <w:rFonts w:ascii="Times New Roman" w:eastAsia="Times New Roman" w:hAnsi="Times New Roman" w:cs="Times New Roman"/>
          <w:kern w:val="0"/>
          <w:sz w:val="18"/>
          <w:szCs w:val="18"/>
          <w:lang w:eastAsia="es-ES_tradnl"/>
          <w14:ligatures w14:val="none"/>
        </w:rPr>
        <w:t>for</w:t>
      </w:r>
      <w:proofErr w:type="spellEnd"/>
      <w:r w:rsidRPr="00823484">
        <w:rPr>
          <w:rFonts w:ascii="Times New Roman" w:eastAsia="Times New Roman" w:hAnsi="Times New Roman" w:cs="Times New Roman"/>
          <w:kern w:val="0"/>
          <w:sz w:val="18"/>
          <w:szCs w:val="18"/>
          <w:lang w:eastAsia="es-ES_tradnl"/>
          <w14:ligatures w14:val="none"/>
        </w:rPr>
        <w:t xml:space="preserve"> the </w:t>
      </w:r>
      <w:proofErr w:type="spellStart"/>
      <w:r w:rsidRPr="00823484">
        <w:rPr>
          <w:rFonts w:ascii="Times New Roman" w:eastAsia="Times New Roman" w:hAnsi="Times New Roman" w:cs="Times New Roman"/>
          <w:kern w:val="0"/>
          <w:sz w:val="18"/>
          <w:szCs w:val="18"/>
          <w:lang w:eastAsia="es-ES_tradnl"/>
          <w14:ligatures w14:val="none"/>
        </w:rPr>
        <w:t>protection</w:t>
      </w:r>
      <w:proofErr w:type="spellEnd"/>
      <w:r w:rsidRPr="00823484">
        <w:rPr>
          <w:rFonts w:ascii="Times New Roman" w:eastAsia="Times New Roman" w:hAnsi="Times New Roman" w:cs="Times New Roman"/>
          <w:kern w:val="0"/>
          <w:sz w:val="18"/>
          <w:szCs w:val="18"/>
          <w:lang w:eastAsia="es-ES_tradnl"/>
          <w14:ligatures w14:val="none"/>
        </w:rPr>
        <w:t xml:space="preserve"> of </w:t>
      </w:r>
      <w:proofErr w:type="spellStart"/>
      <w:r w:rsidRPr="00823484">
        <w:rPr>
          <w:rFonts w:ascii="Times New Roman" w:eastAsia="Times New Roman" w:hAnsi="Times New Roman" w:cs="Times New Roman"/>
          <w:kern w:val="0"/>
          <w:sz w:val="18"/>
          <w:szCs w:val="18"/>
          <w:lang w:eastAsia="es-ES_tradnl"/>
          <w14:ligatures w14:val="none"/>
        </w:rPr>
        <w:t>individuals</w:t>
      </w:r>
      <w:proofErr w:type="spellEnd"/>
      <w:r w:rsidRPr="00823484">
        <w:rPr>
          <w:rFonts w:ascii="Times New Roman" w:eastAsia="Times New Roman" w:hAnsi="Times New Roman" w:cs="Times New Roman"/>
          <w:kern w:val="0"/>
          <w:sz w:val="18"/>
          <w:szCs w:val="18"/>
          <w:lang w:eastAsia="es-ES_tradnl"/>
          <w14:ligatures w14:val="none"/>
        </w:rPr>
        <w:t>?</w:t>
      </w:r>
      <w:proofErr w:type="gramEnd"/>
      <w:r w:rsidRPr="00823484">
        <w:rPr>
          <w:rFonts w:ascii="Times New Roman" w:eastAsia="Times New Roman" w:hAnsi="Times New Roman" w:cs="Times New Roman"/>
          <w:kern w:val="0"/>
          <w:sz w:val="18"/>
          <w:szCs w:val="18"/>
          <w:lang w:eastAsia="es-ES_tradnl"/>
          <w14:ligatures w14:val="none"/>
        </w:rPr>
        <w:t xml:space="preserve">”, </w:t>
      </w:r>
      <w:proofErr w:type="spellStart"/>
      <w:r w:rsidRPr="00823484">
        <w:rPr>
          <w:rFonts w:ascii="Times New Roman" w:eastAsia="Times New Roman" w:hAnsi="Times New Roman" w:cs="Times New Roman"/>
          <w:i/>
          <w:iCs/>
          <w:kern w:val="0"/>
          <w:sz w:val="18"/>
          <w:szCs w:val="18"/>
          <w:lang w:eastAsia="es-ES_tradnl"/>
          <w14:ligatures w14:val="none"/>
        </w:rPr>
        <w:t>Computer</w:t>
      </w:r>
      <w:proofErr w:type="spellEnd"/>
      <w:r w:rsidRPr="00823484">
        <w:rPr>
          <w:rFonts w:ascii="Times New Roman" w:eastAsia="Times New Roman" w:hAnsi="Times New Roman" w:cs="Times New Roman"/>
          <w:i/>
          <w:iCs/>
          <w:kern w:val="0"/>
          <w:sz w:val="18"/>
          <w:szCs w:val="18"/>
          <w:lang w:eastAsia="es-ES_tradnl"/>
          <w14:ligatures w14:val="none"/>
        </w:rPr>
        <w:t xml:space="preserve"> Law &amp; Security </w:t>
      </w:r>
      <w:proofErr w:type="spellStart"/>
      <w:r w:rsidRPr="00823484">
        <w:rPr>
          <w:rFonts w:ascii="Times New Roman" w:eastAsia="Times New Roman" w:hAnsi="Times New Roman" w:cs="Times New Roman"/>
          <w:i/>
          <w:iCs/>
          <w:kern w:val="0"/>
          <w:sz w:val="18"/>
          <w:szCs w:val="18"/>
          <w:lang w:eastAsia="es-ES_tradnl"/>
          <w14:ligatures w14:val="none"/>
        </w:rPr>
        <w:t>Review</w:t>
      </w:r>
      <w:proofErr w:type="spellEnd"/>
      <w:r w:rsidRPr="00823484">
        <w:rPr>
          <w:rFonts w:ascii="Times New Roman" w:eastAsia="Times New Roman" w:hAnsi="Times New Roman" w:cs="Times New Roman"/>
          <w:kern w:val="0"/>
          <w:sz w:val="18"/>
          <w:szCs w:val="18"/>
          <w:lang w:eastAsia="es-ES_tradnl"/>
          <w14:ligatures w14:val="none"/>
        </w:rPr>
        <w:t>, vol. 32, 2016, pp. 179-194.</w:t>
      </w:r>
    </w:p>
  </w:footnote>
  <w:footnote w:id="7">
    <w:p w14:paraId="1E60F42A" w14:textId="152EBDEB" w:rsidR="00C8368F" w:rsidRPr="00C8368F" w:rsidRDefault="00C8368F" w:rsidP="00A60BDC">
      <w:pPr>
        <w:pStyle w:val="Textonotapie"/>
        <w:spacing w:before="60"/>
        <w:rPr>
          <w:rFonts w:ascii="Times New Roman" w:hAnsi="Times New Roman" w:cs="Times New Roman"/>
          <w:sz w:val="18"/>
          <w:szCs w:val="18"/>
          <w:lang w:val="es-ES_tradnl"/>
        </w:rPr>
      </w:pPr>
      <w:r>
        <w:rPr>
          <w:rStyle w:val="Refdenotaalpie"/>
        </w:rPr>
        <w:footnoteRef/>
      </w:r>
      <w:r>
        <w:t xml:space="preserve"> </w:t>
      </w:r>
      <w:r w:rsidRPr="00C8368F">
        <w:rPr>
          <w:rFonts w:ascii="Times New Roman" w:hAnsi="Times New Roman" w:cs="Times New Roman" w:hint="cs"/>
          <w:sz w:val="18"/>
          <w:szCs w:val="18"/>
        </w:rPr>
        <w:t>Artículo 9.1 del Reglamento (UE) 2016/679 del Parlamento Europeo y del Consejo, de 27 de abril de 2016.</w:t>
      </w:r>
    </w:p>
  </w:footnote>
  <w:footnote w:id="8">
    <w:p w14:paraId="75FA3904" w14:textId="0EB4BFBC" w:rsidR="00C8368F" w:rsidRPr="00C8368F" w:rsidRDefault="00C8368F" w:rsidP="00A60BDC">
      <w:pPr>
        <w:pStyle w:val="Textonotapie"/>
        <w:spacing w:before="60"/>
        <w:rPr>
          <w:lang w:val="es-ES_tradnl"/>
        </w:rPr>
      </w:pPr>
      <w:r>
        <w:rPr>
          <w:rStyle w:val="Refdenotaalpie"/>
        </w:rPr>
        <w:footnoteRef/>
      </w:r>
      <w:r>
        <w:t xml:space="preserve"> </w:t>
      </w:r>
      <w:r w:rsidRPr="00A60BDC">
        <w:rPr>
          <w:rFonts w:ascii="Times New Roman" w:hAnsi="Times New Roman" w:cs="Times New Roman" w:hint="cs"/>
          <w:sz w:val="18"/>
          <w:szCs w:val="18"/>
        </w:rPr>
        <w:t>STC 292/2000, de 30 de noviembre, FJ 7.</w:t>
      </w:r>
    </w:p>
  </w:footnote>
  <w:footnote w:id="9">
    <w:p w14:paraId="35DCE917" w14:textId="1D8B1BCB" w:rsidR="00C8368F" w:rsidRPr="00C8368F" w:rsidRDefault="00C8368F" w:rsidP="00C8368F">
      <w:pPr>
        <w:pStyle w:val="Textonotapie"/>
        <w:jc w:val="both"/>
        <w:rPr>
          <w:rFonts w:ascii="Times New Roman" w:hAnsi="Times New Roman" w:cs="Times New Roman"/>
          <w:sz w:val="18"/>
          <w:szCs w:val="18"/>
          <w:lang w:val="es-ES_tradnl"/>
        </w:rPr>
      </w:pPr>
      <w:r w:rsidRPr="00C8368F">
        <w:rPr>
          <w:rStyle w:val="Refdenotaalpie"/>
          <w:rFonts w:ascii="Times New Roman" w:hAnsi="Times New Roman" w:cs="Times New Roman" w:hint="cs"/>
          <w:sz w:val="18"/>
          <w:szCs w:val="18"/>
        </w:rPr>
        <w:footnoteRef/>
      </w:r>
      <w:r w:rsidRPr="00C8368F">
        <w:rPr>
          <w:rFonts w:ascii="Times New Roman" w:hAnsi="Times New Roman" w:cs="Times New Roman" w:hint="cs"/>
          <w:sz w:val="18"/>
          <w:szCs w:val="18"/>
        </w:rPr>
        <w:t xml:space="preserve"> STC 70/2009, de 23 de marzo, FJ 5.</w:t>
      </w:r>
    </w:p>
  </w:footnote>
  <w:footnote w:id="10">
    <w:p w14:paraId="6056E47B" w14:textId="11F16C70" w:rsidR="006F0787" w:rsidRPr="006F0787" w:rsidRDefault="006F0787" w:rsidP="006F0787">
      <w:pPr>
        <w:pStyle w:val="Textonotapie"/>
        <w:jc w:val="both"/>
        <w:rPr>
          <w:lang w:val="es-ES_tradnl"/>
        </w:rPr>
      </w:pPr>
      <w:r>
        <w:rPr>
          <w:rStyle w:val="Refdenotaalpie"/>
        </w:rPr>
        <w:footnoteRef/>
      </w:r>
      <w:r>
        <w:t xml:space="preserve"> </w:t>
      </w:r>
      <w:r w:rsidRPr="006F0787">
        <w:rPr>
          <w:rFonts w:ascii="Times New Roman" w:hAnsi="Times New Roman" w:cs="Times New Roman" w:hint="cs"/>
          <w:sz w:val="18"/>
          <w:szCs w:val="18"/>
        </w:rPr>
        <w:t xml:space="preserve">Comité Europeo de Protección de Datos, </w:t>
      </w:r>
      <w:proofErr w:type="spellStart"/>
      <w:r w:rsidRPr="006F0787">
        <w:rPr>
          <w:rStyle w:val="nfasis"/>
          <w:rFonts w:ascii="Times New Roman" w:hAnsi="Times New Roman" w:cs="Times New Roman" w:hint="cs"/>
          <w:sz w:val="18"/>
          <w:szCs w:val="18"/>
        </w:rPr>
        <w:t>Guidelines</w:t>
      </w:r>
      <w:proofErr w:type="spellEnd"/>
      <w:r w:rsidRPr="006F0787">
        <w:rPr>
          <w:rStyle w:val="nfasis"/>
          <w:rFonts w:ascii="Times New Roman" w:hAnsi="Times New Roman" w:cs="Times New Roman" w:hint="cs"/>
          <w:sz w:val="18"/>
          <w:szCs w:val="18"/>
        </w:rPr>
        <w:t xml:space="preserve"> on </w:t>
      </w:r>
      <w:proofErr w:type="spellStart"/>
      <w:r w:rsidRPr="006F0787">
        <w:rPr>
          <w:rStyle w:val="nfasis"/>
          <w:rFonts w:ascii="Times New Roman" w:hAnsi="Times New Roman" w:cs="Times New Roman" w:hint="cs"/>
          <w:sz w:val="18"/>
          <w:szCs w:val="18"/>
        </w:rPr>
        <w:t>consent</w:t>
      </w:r>
      <w:proofErr w:type="spellEnd"/>
      <w:r w:rsidRPr="006F0787">
        <w:rPr>
          <w:rStyle w:val="nfasis"/>
          <w:rFonts w:ascii="Times New Roman" w:hAnsi="Times New Roman" w:cs="Times New Roman" w:hint="cs"/>
          <w:sz w:val="18"/>
          <w:szCs w:val="18"/>
        </w:rPr>
        <w:t xml:space="preserve"> </w:t>
      </w:r>
      <w:proofErr w:type="spellStart"/>
      <w:r w:rsidRPr="006F0787">
        <w:rPr>
          <w:rStyle w:val="nfasis"/>
          <w:rFonts w:ascii="Times New Roman" w:hAnsi="Times New Roman" w:cs="Times New Roman" w:hint="cs"/>
          <w:sz w:val="18"/>
          <w:szCs w:val="18"/>
        </w:rPr>
        <w:t>under</w:t>
      </w:r>
      <w:proofErr w:type="spellEnd"/>
      <w:r w:rsidRPr="006F0787">
        <w:rPr>
          <w:rStyle w:val="nfasis"/>
          <w:rFonts w:ascii="Times New Roman" w:hAnsi="Times New Roman" w:cs="Times New Roman" w:hint="cs"/>
          <w:sz w:val="18"/>
          <w:szCs w:val="18"/>
        </w:rPr>
        <w:t xml:space="preserve"> </w:t>
      </w:r>
      <w:proofErr w:type="spellStart"/>
      <w:r w:rsidRPr="006F0787">
        <w:rPr>
          <w:rStyle w:val="nfasis"/>
          <w:rFonts w:ascii="Times New Roman" w:hAnsi="Times New Roman" w:cs="Times New Roman" w:hint="cs"/>
          <w:sz w:val="18"/>
          <w:szCs w:val="18"/>
        </w:rPr>
        <w:t>Regulation</w:t>
      </w:r>
      <w:proofErr w:type="spellEnd"/>
      <w:r w:rsidRPr="006F0787">
        <w:rPr>
          <w:rStyle w:val="nfasis"/>
          <w:rFonts w:ascii="Times New Roman" w:hAnsi="Times New Roman" w:cs="Times New Roman" w:hint="cs"/>
          <w:sz w:val="18"/>
          <w:szCs w:val="18"/>
        </w:rPr>
        <w:t xml:space="preserve"> (EU) 2016/679</w:t>
      </w:r>
      <w:r w:rsidRPr="006F0787">
        <w:rPr>
          <w:rFonts w:ascii="Times New Roman" w:hAnsi="Times New Roman" w:cs="Times New Roman" w:hint="cs"/>
          <w:sz w:val="18"/>
          <w:szCs w:val="18"/>
        </w:rPr>
        <w:t>, WP259 rev.01, 2018</w:t>
      </w:r>
      <w:r>
        <w:t>.</w:t>
      </w:r>
    </w:p>
  </w:footnote>
  <w:footnote w:id="11">
    <w:p w14:paraId="202F1CDA" w14:textId="22C0DD9F" w:rsidR="00CB0785" w:rsidRPr="00CB0785" w:rsidRDefault="00CB0785" w:rsidP="00A827C7">
      <w:pPr>
        <w:pStyle w:val="Textonotapie"/>
        <w:rPr>
          <w:lang w:val="es-ES_tradnl"/>
        </w:rPr>
      </w:pPr>
      <w:r>
        <w:rPr>
          <w:rStyle w:val="Refdenotaalpie"/>
        </w:rPr>
        <w:footnoteRef/>
      </w:r>
      <w:r>
        <w:t xml:space="preserve"> </w:t>
      </w:r>
      <w:r w:rsidR="00A827C7">
        <w:rPr>
          <w:rFonts w:ascii="Helvetica Neue" w:hAnsi="Helvetica Neue"/>
          <w:color w:val="3F3E3E"/>
          <w:sz w:val="27"/>
          <w:szCs w:val="27"/>
          <w:shd w:val="clear" w:color="auto" w:fill="FFFFFF"/>
        </w:rPr>
        <w:t xml:space="preserve"> </w:t>
      </w:r>
      <w:r w:rsidR="00A827C7" w:rsidRPr="00A827C7">
        <w:rPr>
          <w:rFonts w:ascii="Times New Roman" w:hAnsi="Times New Roman" w:cs="Times New Roman" w:hint="cs"/>
          <w:color w:val="3F3E3E"/>
          <w:shd w:val="clear" w:color="auto" w:fill="FFFFFF"/>
        </w:rPr>
        <w:t>Reglamento 2025/327 (UE) del Parlamento Europeo y del Consejo, de 11 de febrero de 2025, que establece el </w:t>
      </w:r>
      <w:r w:rsidR="00A827C7" w:rsidRPr="00A827C7">
        <w:rPr>
          <w:rStyle w:val="Fuerte"/>
          <w:rFonts w:ascii="Times New Roman" w:hAnsi="Times New Roman" w:cs="Times New Roman" w:hint="cs"/>
          <w:color w:val="3F3E3E"/>
          <w:shd w:val="clear" w:color="auto" w:fill="FFFFFF"/>
        </w:rPr>
        <w:t>Espacio Europeo de Datos Sanitarios</w:t>
      </w:r>
    </w:p>
  </w:footnote>
  <w:footnote w:id="12">
    <w:p w14:paraId="326A5098" w14:textId="3E265655" w:rsidR="00CB0785" w:rsidRPr="00CB0785" w:rsidRDefault="00CB0785">
      <w:pPr>
        <w:pStyle w:val="Textonotapie"/>
        <w:rPr>
          <w:lang w:val="es-ES_tradnl"/>
        </w:rPr>
      </w:pPr>
      <w:r>
        <w:rPr>
          <w:rStyle w:val="Refdenotaalpie"/>
        </w:rPr>
        <w:footnoteRef/>
      </w:r>
      <w:r>
        <w:t xml:space="preserve"> </w:t>
      </w:r>
      <w:r w:rsidRPr="00CB0785">
        <w:rPr>
          <w:rFonts w:ascii="Times New Roman" w:eastAsia="Times New Roman" w:hAnsi="Times New Roman" w:cs="Times New Roman"/>
          <w:kern w:val="0"/>
          <w:lang w:eastAsia="es-ES_tradnl"/>
          <w14:ligatures w14:val="none"/>
        </w:rPr>
        <w:t xml:space="preserve">Comisión Europea, </w:t>
      </w:r>
      <w:r w:rsidRPr="00CB0785">
        <w:rPr>
          <w:rFonts w:ascii="Times New Roman" w:eastAsia="Times New Roman" w:hAnsi="Times New Roman" w:cs="Times New Roman"/>
          <w:i/>
          <w:iCs/>
          <w:kern w:val="0"/>
          <w:lang w:eastAsia="es-ES_tradnl"/>
          <w14:ligatures w14:val="none"/>
        </w:rPr>
        <w:t xml:space="preserve">European </w:t>
      </w:r>
      <w:proofErr w:type="spellStart"/>
      <w:r w:rsidRPr="00CB0785">
        <w:rPr>
          <w:rFonts w:ascii="Times New Roman" w:eastAsia="Times New Roman" w:hAnsi="Times New Roman" w:cs="Times New Roman"/>
          <w:i/>
          <w:iCs/>
          <w:kern w:val="0"/>
          <w:lang w:eastAsia="es-ES_tradnl"/>
          <w14:ligatures w14:val="none"/>
        </w:rPr>
        <w:t>Health</w:t>
      </w:r>
      <w:proofErr w:type="spellEnd"/>
      <w:r w:rsidRPr="00CB0785">
        <w:rPr>
          <w:rFonts w:ascii="Times New Roman" w:eastAsia="Times New Roman" w:hAnsi="Times New Roman" w:cs="Times New Roman"/>
          <w:i/>
          <w:iCs/>
          <w:kern w:val="0"/>
          <w:lang w:eastAsia="es-ES_tradnl"/>
          <w14:ligatures w14:val="none"/>
        </w:rPr>
        <w:t xml:space="preserve"> Data </w:t>
      </w:r>
      <w:proofErr w:type="spellStart"/>
      <w:r w:rsidRPr="00CB0785">
        <w:rPr>
          <w:rFonts w:ascii="Times New Roman" w:eastAsia="Times New Roman" w:hAnsi="Times New Roman" w:cs="Times New Roman"/>
          <w:i/>
          <w:iCs/>
          <w:kern w:val="0"/>
          <w:lang w:eastAsia="es-ES_tradnl"/>
          <w14:ligatures w14:val="none"/>
        </w:rPr>
        <w:t>Space</w:t>
      </w:r>
      <w:proofErr w:type="spellEnd"/>
      <w:r w:rsidRPr="00CB0785">
        <w:rPr>
          <w:rFonts w:ascii="Times New Roman" w:eastAsia="Times New Roman" w:hAnsi="Times New Roman" w:cs="Times New Roman"/>
          <w:i/>
          <w:iCs/>
          <w:kern w:val="0"/>
          <w:lang w:eastAsia="es-ES_tradnl"/>
          <w14:ligatures w14:val="none"/>
        </w:rPr>
        <w:t xml:space="preserve"> – Impact Assessment</w:t>
      </w:r>
      <w:r w:rsidRPr="00CB0785">
        <w:rPr>
          <w:rFonts w:ascii="Times New Roman" w:eastAsia="Times New Roman" w:hAnsi="Times New Roman" w:cs="Times New Roman"/>
          <w:kern w:val="0"/>
          <w:lang w:eastAsia="es-ES_tradnl"/>
          <w14:ligatures w14:val="none"/>
        </w:rPr>
        <w:t xml:space="preserve">, </w:t>
      </w:r>
      <w:r w:rsidR="00A60BDC" w:rsidRPr="00CB0785">
        <w:rPr>
          <w:rFonts w:ascii="Times New Roman" w:eastAsia="Times New Roman" w:hAnsi="Times New Roman" w:cs="Times New Roman"/>
          <w:kern w:val="0"/>
          <w:lang w:eastAsia="es-ES_tradnl"/>
          <w14:ligatures w14:val="none"/>
        </w:rPr>
        <w:t>SWD (</w:t>
      </w:r>
      <w:r w:rsidRPr="00CB0785">
        <w:rPr>
          <w:rFonts w:ascii="Times New Roman" w:eastAsia="Times New Roman" w:hAnsi="Times New Roman" w:cs="Times New Roman"/>
          <w:kern w:val="0"/>
          <w:lang w:eastAsia="es-ES_tradnl"/>
          <w14:ligatures w14:val="none"/>
        </w:rPr>
        <w:t>2022) 131 final.</w:t>
      </w:r>
    </w:p>
  </w:footnote>
  <w:footnote w:id="13">
    <w:p w14:paraId="4F690B6E" w14:textId="7396590A" w:rsidR="00FB6BAB" w:rsidRPr="00FB6BAB" w:rsidRDefault="00FB6BAB">
      <w:pPr>
        <w:pStyle w:val="Textonotapie"/>
        <w:rPr>
          <w:lang w:val="es-ES_tradnl"/>
        </w:rPr>
      </w:pPr>
      <w:r>
        <w:rPr>
          <w:rStyle w:val="Refdenotaalpie"/>
        </w:rPr>
        <w:footnoteRef/>
      </w:r>
      <w:r>
        <w:t xml:space="preserve"> </w:t>
      </w:r>
      <w:r w:rsidRPr="00CB0785">
        <w:rPr>
          <w:rFonts w:ascii="Times New Roman" w:eastAsia="Times New Roman" w:hAnsi="Times New Roman" w:cs="Times New Roman"/>
          <w:kern w:val="0"/>
          <w:lang w:eastAsia="es-ES_tradnl"/>
          <w14:ligatures w14:val="none"/>
        </w:rPr>
        <w:t>Disposición adicional decimoséptima de la Ley Orgánica 3/2018, de 5 de diciembre, de Protección de Datos Personales y garantía de los derechos digitales.</w:t>
      </w:r>
    </w:p>
  </w:footnote>
  <w:footnote w:id="14">
    <w:p w14:paraId="2B0B8BC6" w14:textId="7F2AB778" w:rsidR="005351EF" w:rsidRPr="005351EF" w:rsidRDefault="005351EF" w:rsidP="005351EF">
      <w:pPr>
        <w:pStyle w:val="Textonotapie"/>
        <w:jc w:val="both"/>
        <w:rPr>
          <w:rFonts w:ascii="Times New Roman" w:hAnsi="Times New Roman" w:cs="Times New Roman"/>
          <w:sz w:val="18"/>
          <w:szCs w:val="18"/>
          <w:lang w:val="es-ES_tradnl"/>
        </w:rPr>
      </w:pPr>
      <w:r>
        <w:rPr>
          <w:rStyle w:val="Refdenotaalpie"/>
        </w:rPr>
        <w:footnoteRef/>
      </w:r>
      <w:r>
        <w:t xml:space="preserve"> </w:t>
      </w:r>
      <w:r w:rsidRPr="005351EF">
        <w:rPr>
          <w:rFonts w:ascii="Times New Roman" w:hAnsi="Times New Roman" w:cs="Times New Roman" w:hint="cs"/>
          <w:sz w:val="18"/>
          <w:szCs w:val="18"/>
        </w:rPr>
        <w:t xml:space="preserve">Comisión Europea, </w:t>
      </w:r>
      <w:r w:rsidRPr="005351EF">
        <w:rPr>
          <w:rStyle w:val="nfasis"/>
          <w:rFonts w:ascii="Times New Roman" w:hAnsi="Times New Roman" w:cs="Times New Roman" w:hint="cs"/>
          <w:sz w:val="18"/>
          <w:szCs w:val="18"/>
        </w:rPr>
        <w:t xml:space="preserve">A European </w:t>
      </w:r>
      <w:proofErr w:type="spellStart"/>
      <w:r w:rsidRPr="005351EF">
        <w:rPr>
          <w:rStyle w:val="nfasis"/>
          <w:rFonts w:ascii="Times New Roman" w:hAnsi="Times New Roman" w:cs="Times New Roman" w:hint="cs"/>
          <w:sz w:val="18"/>
          <w:szCs w:val="18"/>
        </w:rPr>
        <w:t>strategy</w:t>
      </w:r>
      <w:proofErr w:type="spellEnd"/>
      <w:r w:rsidRPr="005351EF">
        <w:rPr>
          <w:rStyle w:val="nfasis"/>
          <w:rFonts w:ascii="Times New Roman" w:hAnsi="Times New Roman" w:cs="Times New Roman" w:hint="cs"/>
          <w:sz w:val="18"/>
          <w:szCs w:val="18"/>
        </w:rPr>
        <w:t xml:space="preserve"> </w:t>
      </w:r>
      <w:proofErr w:type="spellStart"/>
      <w:r w:rsidRPr="005351EF">
        <w:rPr>
          <w:rStyle w:val="nfasis"/>
          <w:rFonts w:ascii="Times New Roman" w:hAnsi="Times New Roman" w:cs="Times New Roman" w:hint="cs"/>
          <w:sz w:val="18"/>
          <w:szCs w:val="18"/>
        </w:rPr>
        <w:t>for</w:t>
      </w:r>
      <w:proofErr w:type="spellEnd"/>
      <w:r w:rsidRPr="005351EF">
        <w:rPr>
          <w:rStyle w:val="nfasis"/>
          <w:rFonts w:ascii="Times New Roman" w:hAnsi="Times New Roman" w:cs="Times New Roman" w:hint="cs"/>
          <w:sz w:val="18"/>
          <w:szCs w:val="18"/>
        </w:rPr>
        <w:t xml:space="preserve"> data</w:t>
      </w:r>
      <w:r w:rsidRPr="005351EF">
        <w:rPr>
          <w:rFonts w:ascii="Times New Roman" w:hAnsi="Times New Roman" w:cs="Times New Roman" w:hint="cs"/>
          <w:sz w:val="18"/>
          <w:szCs w:val="18"/>
        </w:rPr>
        <w:t xml:space="preserve">, </w:t>
      </w:r>
      <w:proofErr w:type="gramStart"/>
      <w:r w:rsidRPr="005351EF">
        <w:rPr>
          <w:rFonts w:ascii="Times New Roman" w:hAnsi="Times New Roman" w:cs="Times New Roman" w:hint="cs"/>
          <w:sz w:val="18"/>
          <w:szCs w:val="18"/>
        </w:rPr>
        <w:t>COM(</w:t>
      </w:r>
      <w:proofErr w:type="gramEnd"/>
      <w:r w:rsidRPr="005351EF">
        <w:rPr>
          <w:rFonts w:ascii="Times New Roman" w:hAnsi="Times New Roman" w:cs="Times New Roman" w:hint="cs"/>
          <w:sz w:val="18"/>
          <w:szCs w:val="18"/>
        </w:rPr>
        <w:t xml:space="preserve">2020) 66 final, y Reglamento (UE) 2022/868 del Parlamento Europeo y del Consejo, de 30 de mayo de 2022, relativo a la gobernanza europea de datos (Data </w:t>
      </w:r>
      <w:proofErr w:type="spellStart"/>
      <w:r w:rsidRPr="005351EF">
        <w:rPr>
          <w:rFonts w:ascii="Times New Roman" w:hAnsi="Times New Roman" w:cs="Times New Roman" w:hint="cs"/>
          <w:sz w:val="18"/>
          <w:szCs w:val="18"/>
        </w:rPr>
        <w:t>Governance</w:t>
      </w:r>
      <w:proofErr w:type="spellEnd"/>
      <w:r w:rsidRPr="005351EF">
        <w:rPr>
          <w:rFonts w:ascii="Times New Roman" w:hAnsi="Times New Roman" w:cs="Times New Roman" w:hint="cs"/>
          <w:sz w:val="18"/>
          <w:szCs w:val="18"/>
        </w:rPr>
        <w:t xml:space="preserve"> </w:t>
      </w:r>
      <w:proofErr w:type="spellStart"/>
      <w:r w:rsidRPr="005351EF">
        <w:rPr>
          <w:rFonts w:ascii="Times New Roman" w:hAnsi="Times New Roman" w:cs="Times New Roman" w:hint="cs"/>
          <w:sz w:val="18"/>
          <w:szCs w:val="18"/>
        </w:rPr>
        <w:t>Act</w:t>
      </w:r>
      <w:proofErr w:type="spellEnd"/>
      <w:r w:rsidRPr="005351EF">
        <w:rPr>
          <w:rFonts w:ascii="Times New Roman" w:hAnsi="Times New Roman" w:cs="Times New Roman" w:hint="cs"/>
          <w:sz w:val="18"/>
          <w:szCs w:val="18"/>
        </w:rPr>
        <w:t>).</w:t>
      </w:r>
    </w:p>
  </w:footnote>
  <w:footnote w:id="15">
    <w:p w14:paraId="73142A32" w14:textId="13D18B9D" w:rsidR="005351EF" w:rsidRPr="005351EF" w:rsidRDefault="005351EF" w:rsidP="005351EF">
      <w:pPr>
        <w:pStyle w:val="Textonotapie"/>
        <w:jc w:val="both"/>
        <w:rPr>
          <w:rFonts w:ascii="Times New Roman" w:hAnsi="Times New Roman" w:cs="Times New Roman"/>
          <w:sz w:val="18"/>
          <w:szCs w:val="18"/>
          <w:lang w:val="es-ES_tradnl"/>
        </w:rPr>
      </w:pPr>
      <w:r>
        <w:rPr>
          <w:rStyle w:val="Refdenotaalpie"/>
        </w:rPr>
        <w:footnoteRef/>
      </w:r>
      <w:r>
        <w:t xml:space="preserve"> </w:t>
      </w:r>
      <w:r w:rsidRPr="005351EF">
        <w:rPr>
          <w:rFonts w:ascii="Times New Roman" w:hAnsi="Times New Roman" w:cs="Times New Roman" w:hint="cs"/>
          <w:sz w:val="18"/>
          <w:szCs w:val="18"/>
        </w:rPr>
        <w:t xml:space="preserve">European Data </w:t>
      </w:r>
      <w:proofErr w:type="spellStart"/>
      <w:r w:rsidRPr="005351EF">
        <w:rPr>
          <w:rFonts w:ascii="Times New Roman" w:hAnsi="Times New Roman" w:cs="Times New Roman" w:hint="cs"/>
          <w:sz w:val="18"/>
          <w:szCs w:val="18"/>
        </w:rPr>
        <w:t>Protection</w:t>
      </w:r>
      <w:proofErr w:type="spellEnd"/>
      <w:r w:rsidRPr="005351EF">
        <w:rPr>
          <w:rFonts w:ascii="Times New Roman" w:hAnsi="Times New Roman" w:cs="Times New Roman" w:hint="cs"/>
          <w:sz w:val="18"/>
          <w:szCs w:val="18"/>
        </w:rPr>
        <w:t xml:space="preserve"> </w:t>
      </w:r>
      <w:proofErr w:type="spellStart"/>
      <w:r w:rsidRPr="005351EF">
        <w:rPr>
          <w:rFonts w:ascii="Times New Roman" w:hAnsi="Times New Roman" w:cs="Times New Roman" w:hint="cs"/>
          <w:sz w:val="18"/>
          <w:szCs w:val="18"/>
        </w:rPr>
        <w:t>Board</w:t>
      </w:r>
      <w:proofErr w:type="spellEnd"/>
      <w:r w:rsidRPr="005351EF">
        <w:rPr>
          <w:rFonts w:ascii="Times New Roman" w:hAnsi="Times New Roman" w:cs="Times New Roman" w:hint="cs"/>
          <w:sz w:val="18"/>
          <w:szCs w:val="18"/>
        </w:rPr>
        <w:t xml:space="preserve">, </w:t>
      </w:r>
      <w:proofErr w:type="spellStart"/>
      <w:r w:rsidRPr="005351EF">
        <w:rPr>
          <w:rStyle w:val="nfasis"/>
          <w:rFonts w:ascii="Times New Roman" w:hAnsi="Times New Roman" w:cs="Times New Roman" w:hint="cs"/>
          <w:sz w:val="18"/>
          <w:szCs w:val="18"/>
        </w:rPr>
        <w:t>Opinion</w:t>
      </w:r>
      <w:proofErr w:type="spellEnd"/>
      <w:r w:rsidRPr="005351EF">
        <w:rPr>
          <w:rStyle w:val="nfasis"/>
          <w:rFonts w:ascii="Times New Roman" w:hAnsi="Times New Roman" w:cs="Times New Roman" w:hint="cs"/>
          <w:sz w:val="18"/>
          <w:szCs w:val="18"/>
        </w:rPr>
        <w:t xml:space="preserve"> 3/2019 on the </w:t>
      </w:r>
      <w:proofErr w:type="spellStart"/>
      <w:r w:rsidRPr="005351EF">
        <w:rPr>
          <w:rStyle w:val="nfasis"/>
          <w:rFonts w:ascii="Times New Roman" w:hAnsi="Times New Roman" w:cs="Times New Roman" w:hint="cs"/>
          <w:sz w:val="18"/>
          <w:szCs w:val="18"/>
        </w:rPr>
        <w:t>interplay</w:t>
      </w:r>
      <w:proofErr w:type="spellEnd"/>
      <w:r w:rsidRPr="005351EF">
        <w:rPr>
          <w:rStyle w:val="nfasis"/>
          <w:rFonts w:ascii="Times New Roman" w:hAnsi="Times New Roman" w:cs="Times New Roman" w:hint="cs"/>
          <w:sz w:val="18"/>
          <w:szCs w:val="18"/>
        </w:rPr>
        <w:t xml:space="preserve"> </w:t>
      </w:r>
      <w:proofErr w:type="spellStart"/>
      <w:r w:rsidRPr="005351EF">
        <w:rPr>
          <w:rStyle w:val="nfasis"/>
          <w:rFonts w:ascii="Times New Roman" w:hAnsi="Times New Roman" w:cs="Times New Roman" w:hint="cs"/>
          <w:sz w:val="18"/>
          <w:szCs w:val="18"/>
        </w:rPr>
        <w:t>between</w:t>
      </w:r>
      <w:proofErr w:type="spellEnd"/>
      <w:r w:rsidRPr="005351EF">
        <w:rPr>
          <w:rStyle w:val="nfasis"/>
          <w:rFonts w:ascii="Times New Roman" w:hAnsi="Times New Roman" w:cs="Times New Roman" w:hint="cs"/>
          <w:sz w:val="18"/>
          <w:szCs w:val="18"/>
        </w:rPr>
        <w:t xml:space="preserve"> the </w:t>
      </w:r>
      <w:proofErr w:type="spellStart"/>
      <w:r w:rsidRPr="005351EF">
        <w:rPr>
          <w:rStyle w:val="nfasis"/>
          <w:rFonts w:ascii="Times New Roman" w:hAnsi="Times New Roman" w:cs="Times New Roman" w:hint="cs"/>
          <w:sz w:val="18"/>
          <w:szCs w:val="18"/>
        </w:rPr>
        <w:t>Clinical</w:t>
      </w:r>
      <w:proofErr w:type="spellEnd"/>
      <w:r w:rsidRPr="005351EF">
        <w:rPr>
          <w:rStyle w:val="nfasis"/>
          <w:rFonts w:ascii="Times New Roman" w:hAnsi="Times New Roman" w:cs="Times New Roman" w:hint="cs"/>
          <w:sz w:val="18"/>
          <w:szCs w:val="18"/>
        </w:rPr>
        <w:t xml:space="preserve"> </w:t>
      </w:r>
      <w:proofErr w:type="spellStart"/>
      <w:r w:rsidRPr="005351EF">
        <w:rPr>
          <w:rStyle w:val="nfasis"/>
          <w:rFonts w:ascii="Times New Roman" w:hAnsi="Times New Roman" w:cs="Times New Roman" w:hint="cs"/>
          <w:sz w:val="18"/>
          <w:szCs w:val="18"/>
        </w:rPr>
        <w:t>Trials</w:t>
      </w:r>
      <w:proofErr w:type="spellEnd"/>
      <w:r w:rsidRPr="005351EF">
        <w:rPr>
          <w:rStyle w:val="nfasis"/>
          <w:rFonts w:ascii="Times New Roman" w:hAnsi="Times New Roman" w:cs="Times New Roman" w:hint="cs"/>
          <w:sz w:val="18"/>
          <w:szCs w:val="18"/>
        </w:rPr>
        <w:t xml:space="preserve"> </w:t>
      </w:r>
      <w:proofErr w:type="spellStart"/>
      <w:r w:rsidRPr="005351EF">
        <w:rPr>
          <w:rStyle w:val="nfasis"/>
          <w:rFonts w:ascii="Times New Roman" w:hAnsi="Times New Roman" w:cs="Times New Roman" w:hint="cs"/>
          <w:sz w:val="18"/>
          <w:szCs w:val="18"/>
        </w:rPr>
        <w:t>Regulation</w:t>
      </w:r>
      <w:proofErr w:type="spellEnd"/>
      <w:r w:rsidRPr="005351EF">
        <w:rPr>
          <w:rStyle w:val="nfasis"/>
          <w:rFonts w:ascii="Times New Roman" w:hAnsi="Times New Roman" w:cs="Times New Roman" w:hint="cs"/>
          <w:sz w:val="18"/>
          <w:szCs w:val="18"/>
        </w:rPr>
        <w:t xml:space="preserve"> and the GDPR</w:t>
      </w:r>
      <w:r w:rsidRPr="005351EF">
        <w:rPr>
          <w:rFonts w:ascii="Times New Roman" w:hAnsi="Times New Roman" w:cs="Times New Roman" w:hint="cs"/>
          <w:sz w:val="18"/>
          <w:szCs w:val="18"/>
        </w:rPr>
        <w:t xml:space="preserve">, 23 </w:t>
      </w:r>
      <w:proofErr w:type="spellStart"/>
      <w:r w:rsidRPr="005351EF">
        <w:rPr>
          <w:rFonts w:ascii="Times New Roman" w:hAnsi="Times New Roman" w:cs="Times New Roman" w:hint="cs"/>
          <w:sz w:val="18"/>
          <w:szCs w:val="18"/>
        </w:rPr>
        <w:t>January</w:t>
      </w:r>
      <w:proofErr w:type="spellEnd"/>
      <w:r w:rsidRPr="005351EF">
        <w:rPr>
          <w:rFonts w:ascii="Times New Roman" w:hAnsi="Times New Roman" w:cs="Times New Roman" w:hint="cs"/>
          <w:sz w:val="18"/>
          <w:szCs w:val="18"/>
        </w:rPr>
        <w:t xml:space="preserve">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326"/>
    <w:multiLevelType w:val="multilevel"/>
    <w:tmpl w:val="74623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E0BFA"/>
    <w:multiLevelType w:val="hybridMultilevel"/>
    <w:tmpl w:val="BD00424A"/>
    <w:lvl w:ilvl="0" w:tplc="15F841B2">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53B4AEF"/>
    <w:multiLevelType w:val="multilevel"/>
    <w:tmpl w:val="ECB2E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B415E7"/>
    <w:multiLevelType w:val="multilevel"/>
    <w:tmpl w:val="E4F08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E4077E"/>
    <w:multiLevelType w:val="multilevel"/>
    <w:tmpl w:val="24A4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E03807"/>
    <w:multiLevelType w:val="multilevel"/>
    <w:tmpl w:val="64C8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74CA5"/>
    <w:multiLevelType w:val="multilevel"/>
    <w:tmpl w:val="459C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2E131F"/>
    <w:multiLevelType w:val="multilevel"/>
    <w:tmpl w:val="62BAD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E55215"/>
    <w:multiLevelType w:val="multilevel"/>
    <w:tmpl w:val="6632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C18F0"/>
    <w:multiLevelType w:val="multilevel"/>
    <w:tmpl w:val="EEDE6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73233E"/>
    <w:multiLevelType w:val="multilevel"/>
    <w:tmpl w:val="88D60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0C6B9C"/>
    <w:multiLevelType w:val="multilevel"/>
    <w:tmpl w:val="23BE7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7549A4"/>
    <w:multiLevelType w:val="multilevel"/>
    <w:tmpl w:val="9864A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167A00"/>
    <w:multiLevelType w:val="hybridMultilevel"/>
    <w:tmpl w:val="7E98F15C"/>
    <w:lvl w:ilvl="0" w:tplc="24EE2442">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74D73A38"/>
    <w:multiLevelType w:val="multilevel"/>
    <w:tmpl w:val="47AE3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D85598"/>
    <w:multiLevelType w:val="multilevel"/>
    <w:tmpl w:val="BBF65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8D5ECC"/>
    <w:multiLevelType w:val="multilevel"/>
    <w:tmpl w:val="101C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C36738"/>
    <w:multiLevelType w:val="multilevel"/>
    <w:tmpl w:val="4F22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256385">
    <w:abstractNumId w:val="7"/>
  </w:num>
  <w:num w:numId="2" w16cid:durableId="255863947">
    <w:abstractNumId w:val="10"/>
  </w:num>
  <w:num w:numId="3" w16cid:durableId="905647852">
    <w:abstractNumId w:val="0"/>
  </w:num>
  <w:num w:numId="4" w16cid:durableId="2014410676">
    <w:abstractNumId w:val="5"/>
  </w:num>
  <w:num w:numId="5" w16cid:durableId="1520584194">
    <w:abstractNumId w:val="15"/>
  </w:num>
  <w:num w:numId="6" w16cid:durableId="201792238">
    <w:abstractNumId w:val="14"/>
  </w:num>
  <w:num w:numId="7" w16cid:durableId="184559975">
    <w:abstractNumId w:val="12"/>
  </w:num>
  <w:num w:numId="8" w16cid:durableId="1508327096">
    <w:abstractNumId w:val="3"/>
  </w:num>
  <w:num w:numId="9" w16cid:durableId="1463111360">
    <w:abstractNumId w:val="6"/>
  </w:num>
  <w:num w:numId="10" w16cid:durableId="1085951762">
    <w:abstractNumId w:val="11"/>
  </w:num>
  <w:num w:numId="11" w16cid:durableId="136917578">
    <w:abstractNumId w:val="16"/>
  </w:num>
  <w:num w:numId="12" w16cid:durableId="2000841320">
    <w:abstractNumId w:val="2"/>
  </w:num>
  <w:num w:numId="13" w16cid:durableId="561990984">
    <w:abstractNumId w:val="13"/>
  </w:num>
  <w:num w:numId="14" w16cid:durableId="1803422550">
    <w:abstractNumId w:val="1"/>
  </w:num>
  <w:num w:numId="15" w16cid:durableId="955407239">
    <w:abstractNumId w:val="4"/>
  </w:num>
  <w:num w:numId="16" w16cid:durableId="617689665">
    <w:abstractNumId w:val="8"/>
  </w:num>
  <w:num w:numId="17" w16cid:durableId="1081676533">
    <w:abstractNumId w:val="9"/>
  </w:num>
  <w:num w:numId="18" w16cid:durableId="13341474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B4E"/>
    <w:rsid w:val="000755AD"/>
    <w:rsid w:val="000E04F8"/>
    <w:rsid w:val="000F631A"/>
    <w:rsid w:val="00112DFF"/>
    <w:rsid w:val="00114D60"/>
    <w:rsid w:val="00123B7F"/>
    <w:rsid w:val="001464AE"/>
    <w:rsid w:val="00151AAE"/>
    <w:rsid w:val="001D297D"/>
    <w:rsid w:val="001F78E7"/>
    <w:rsid w:val="00284594"/>
    <w:rsid w:val="002C5203"/>
    <w:rsid w:val="00327949"/>
    <w:rsid w:val="00335053"/>
    <w:rsid w:val="00382DC1"/>
    <w:rsid w:val="0038344E"/>
    <w:rsid w:val="003A052F"/>
    <w:rsid w:val="003A3946"/>
    <w:rsid w:val="003A5883"/>
    <w:rsid w:val="003B3D5C"/>
    <w:rsid w:val="003B69C5"/>
    <w:rsid w:val="003B745E"/>
    <w:rsid w:val="00420C1B"/>
    <w:rsid w:val="004428FC"/>
    <w:rsid w:val="00465979"/>
    <w:rsid w:val="00470B91"/>
    <w:rsid w:val="00480F17"/>
    <w:rsid w:val="004975B6"/>
    <w:rsid w:val="004C6F57"/>
    <w:rsid w:val="004E6A9E"/>
    <w:rsid w:val="00510B4E"/>
    <w:rsid w:val="005351EF"/>
    <w:rsid w:val="00542C44"/>
    <w:rsid w:val="005506C8"/>
    <w:rsid w:val="00556E5A"/>
    <w:rsid w:val="00563280"/>
    <w:rsid w:val="005B6A1E"/>
    <w:rsid w:val="005F0DEC"/>
    <w:rsid w:val="00624CEE"/>
    <w:rsid w:val="006A6511"/>
    <w:rsid w:val="006F0787"/>
    <w:rsid w:val="007141A9"/>
    <w:rsid w:val="00771528"/>
    <w:rsid w:val="00785E43"/>
    <w:rsid w:val="00796DE5"/>
    <w:rsid w:val="007F708C"/>
    <w:rsid w:val="00823484"/>
    <w:rsid w:val="00861446"/>
    <w:rsid w:val="008A7C9E"/>
    <w:rsid w:val="008B161E"/>
    <w:rsid w:val="008F287E"/>
    <w:rsid w:val="00951A21"/>
    <w:rsid w:val="009A2AD4"/>
    <w:rsid w:val="00A60A94"/>
    <w:rsid w:val="00A60BDC"/>
    <w:rsid w:val="00A827C7"/>
    <w:rsid w:val="00A95920"/>
    <w:rsid w:val="00AD3490"/>
    <w:rsid w:val="00B04583"/>
    <w:rsid w:val="00B12399"/>
    <w:rsid w:val="00B9638C"/>
    <w:rsid w:val="00C333F5"/>
    <w:rsid w:val="00C553DA"/>
    <w:rsid w:val="00C8368F"/>
    <w:rsid w:val="00CB0785"/>
    <w:rsid w:val="00CB13AB"/>
    <w:rsid w:val="00CD7F6F"/>
    <w:rsid w:val="00CE0A91"/>
    <w:rsid w:val="00D0168D"/>
    <w:rsid w:val="00D2149C"/>
    <w:rsid w:val="00D86E23"/>
    <w:rsid w:val="00DB1208"/>
    <w:rsid w:val="00E84CAE"/>
    <w:rsid w:val="00F12878"/>
    <w:rsid w:val="00F32880"/>
    <w:rsid w:val="00FB6BAB"/>
    <w:rsid w:val="00FD6A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2AE2F"/>
  <w15:chartTrackingRefBased/>
  <w15:docId w15:val="{156812C6-E37E-D14B-B8F1-44414B73F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10B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510B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510B4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10B4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10B4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10B4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10B4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10B4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10B4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10B4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510B4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510B4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10B4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10B4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10B4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10B4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10B4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10B4E"/>
    <w:rPr>
      <w:rFonts w:eastAsiaTheme="majorEastAsia" w:cstheme="majorBidi"/>
      <w:color w:val="272727" w:themeColor="text1" w:themeTint="D8"/>
    </w:rPr>
  </w:style>
  <w:style w:type="paragraph" w:styleId="Ttulo">
    <w:name w:val="Title"/>
    <w:basedOn w:val="Normal"/>
    <w:next w:val="Normal"/>
    <w:link w:val="TtuloCar"/>
    <w:uiPriority w:val="10"/>
    <w:qFormat/>
    <w:rsid w:val="00510B4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10B4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10B4E"/>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10B4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10B4E"/>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510B4E"/>
    <w:rPr>
      <w:i/>
      <w:iCs/>
      <w:color w:val="404040" w:themeColor="text1" w:themeTint="BF"/>
    </w:rPr>
  </w:style>
  <w:style w:type="paragraph" w:styleId="Prrafodelista">
    <w:name w:val="List Paragraph"/>
    <w:basedOn w:val="Normal"/>
    <w:uiPriority w:val="34"/>
    <w:qFormat/>
    <w:rsid w:val="00510B4E"/>
    <w:pPr>
      <w:ind w:left="720"/>
      <w:contextualSpacing/>
    </w:pPr>
  </w:style>
  <w:style w:type="character" w:styleId="nfasisintenso">
    <w:name w:val="Intense Emphasis"/>
    <w:basedOn w:val="Fuentedeprrafopredeter"/>
    <w:uiPriority w:val="21"/>
    <w:qFormat/>
    <w:rsid w:val="00510B4E"/>
    <w:rPr>
      <w:i/>
      <w:iCs/>
      <w:color w:val="0F4761" w:themeColor="accent1" w:themeShade="BF"/>
    </w:rPr>
  </w:style>
  <w:style w:type="paragraph" w:styleId="Citadestacada">
    <w:name w:val="Intense Quote"/>
    <w:basedOn w:val="Normal"/>
    <w:next w:val="Normal"/>
    <w:link w:val="CitadestacadaCar"/>
    <w:uiPriority w:val="30"/>
    <w:qFormat/>
    <w:rsid w:val="00510B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10B4E"/>
    <w:rPr>
      <w:i/>
      <w:iCs/>
      <w:color w:val="0F4761" w:themeColor="accent1" w:themeShade="BF"/>
    </w:rPr>
  </w:style>
  <w:style w:type="character" w:styleId="Referenciaintensa">
    <w:name w:val="Intense Reference"/>
    <w:basedOn w:val="Fuentedeprrafopredeter"/>
    <w:uiPriority w:val="32"/>
    <w:qFormat/>
    <w:rsid w:val="00510B4E"/>
    <w:rPr>
      <w:b/>
      <w:bCs/>
      <w:smallCaps/>
      <w:color w:val="0F4761" w:themeColor="accent1" w:themeShade="BF"/>
      <w:spacing w:val="5"/>
    </w:rPr>
  </w:style>
  <w:style w:type="paragraph" w:styleId="NormalWeb">
    <w:name w:val="Normal (Web)"/>
    <w:basedOn w:val="Normal"/>
    <w:uiPriority w:val="99"/>
    <w:unhideWhenUsed/>
    <w:rsid w:val="00510B4E"/>
    <w:pPr>
      <w:spacing w:before="100" w:beforeAutospacing="1" w:after="100" w:afterAutospacing="1"/>
    </w:pPr>
    <w:rPr>
      <w:rFonts w:ascii="Times New Roman" w:eastAsia="Times New Roman" w:hAnsi="Times New Roman" w:cs="Times New Roman"/>
      <w:kern w:val="0"/>
      <w:lang w:eastAsia="es-ES_tradnl"/>
      <w14:ligatures w14:val="none"/>
    </w:rPr>
  </w:style>
  <w:style w:type="character" w:styleId="Fuerte">
    <w:name w:val="Strong"/>
    <w:basedOn w:val="Fuentedeprrafopredeter"/>
    <w:uiPriority w:val="22"/>
    <w:qFormat/>
    <w:rsid w:val="00510B4E"/>
    <w:rPr>
      <w:b/>
      <w:bCs/>
    </w:rPr>
  </w:style>
  <w:style w:type="paragraph" w:styleId="Encabezado">
    <w:name w:val="header"/>
    <w:basedOn w:val="Normal"/>
    <w:link w:val="EncabezadoCar"/>
    <w:uiPriority w:val="99"/>
    <w:unhideWhenUsed/>
    <w:rsid w:val="00510B4E"/>
    <w:pPr>
      <w:tabs>
        <w:tab w:val="center" w:pos="4252"/>
        <w:tab w:val="right" w:pos="8504"/>
      </w:tabs>
    </w:pPr>
  </w:style>
  <w:style w:type="character" w:customStyle="1" w:styleId="EncabezadoCar">
    <w:name w:val="Encabezado Car"/>
    <w:basedOn w:val="Fuentedeprrafopredeter"/>
    <w:link w:val="Encabezado"/>
    <w:uiPriority w:val="99"/>
    <w:rsid w:val="00510B4E"/>
  </w:style>
  <w:style w:type="paragraph" w:styleId="Piedepgina">
    <w:name w:val="footer"/>
    <w:basedOn w:val="Normal"/>
    <w:link w:val="PiedepginaCar"/>
    <w:uiPriority w:val="99"/>
    <w:unhideWhenUsed/>
    <w:rsid w:val="00510B4E"/>
    <w:pPr>
      <w:tabs>
        <w:tab w:val="center" w:pos="4252"/>
        <w:tab w:val="right" w:pos="8504"/>
      </w:tabs>
    </w:pPr>
  </w:style>
  <w:style w:type="character" w:customStyle="1" w:styleId="PiedepginaCar">
    <w:name w:val="Pie de página Car"/>
    <w:basedOn w:val="Fuentedeprrafopredeter"/>
    <w:link w:val="Piedepgina"/>
    <w:uiPriority w:val="99"/>
    <w:rsid w:val="00510B4E"/>
  </w:style>
  <w:style w:type="character" w:styleId="Hipervnculo">
    <w:name w:val="Hyperlink"/>
    <w:basedOn w:val="Fuentedeprrafopredeter"/>
    <w:uiPriority w:val="99"/>
    <w:unhideWhenUsed/>
    <w:rsid w:val="00A60A94"/>
    <w:rPr>
      <w:color w:val="467886" w:themeColor="hyperlink"/>
      <w:u w:val="single"/>
    </w:rPr>
  </w:style>
  <w:style w:type="character" w:styleId="Mencinsinresolver">
    <w:name w:val="Unresolved Mention"/>
    <w:basedOn w:val="Fuentedeprrafopredeter"/>
    <w:uiPriority w:val="99"/>
    <w:semiHidden/>
    <w:unhideWhenUsed/>
    <w:rsid w:val="00A60A94"/>
    <w:rPr>
      <w:color w:val="605E5C"/>
      <w:shd w:val="clear" w:color="auto" w:fill="E1DFDD"/>
    </w:rPr>
  </w:style>
  <w:style w:type="character" w:styleId="nfasis">
    <w:name w:val="Emphasis"/>
    <w:basedOn w:val="Fuentedeprrafopredeter"/>
    <w:uiPriority w:val="20"/>
    <w:qFormat/>
    <w:rsid w:val="00796DE5"/>
    <w:rPr>
      <w:i/>
      <w:iCs/>
    </w:rPr>
  </w:style>
  <w:style w:type="paragraph" w:styleId="Textonotapie">
    <w:name w:val="footnote text"/>
    <w:basedOn w:val="Normal"/>
    <w:link w:val="TextonotapieCar"/>
    <w:uiPriority w:val="99"/>
    <w:semiHidden/>
    <w:unhideWhenUsed/>
    <w:rsid w:val="00796DE5"/>
    <w:rPr>
      <w:sz w:val="20"/>
      <w:szCs w:val="20"/>
    </w:rPr>
  </w:style>
  <w:style w:type="character" w:customStyle="1" w:styleId="TextonotapieCar">
    <w:name w:val="Texto nota pie Car"/>
    <w:basedOn w:val="Fuentedeprrafopredeter"/>
    <w:link w:val="Textonotapie"/>
    <w:uiPriority w:val="99"/>
    <w:semiHidden/>
    <w:rsid w:val="00796DE5"/>
    <w:rPr>
      <w:sz w:val="20"/>
      <w:szCs w:val="20"/>
    </w:rPr>
  </w:style>
  <w:style w:type="character" w:styleId="Refdenotaalpie">
    <w:name w:val="footnote reference"/>
    <w:basedOn w:val="Fuentedeprrafopredeter"/>
    <w:uiPriority w:val="99"/>
    <w:semiHidden/>
    <w:unhideWhenUsed/>
    <w:rsid w:val="00796DE5"/>
    <w:rPr>
      <w:vertAlign w:val="superscript"/>
    </w:rPr>
  </w:style>
  <w:style w:type="paragraph" w:styleId="z-Principiodelformulario">
    <w:name w:val="HTML Top of Form"/>
    <w:basedOn w:val="Normal"/>
    <w:next w:val="Normal"/>
    <w:link w:val="z-PrincipiodelformularioCar"/>
    <w:hidden/>
    <w:uiPriority w:val="99"/>
    <w:semiHidden/>
    <w:unhideWhenUsed/>
    <w:rsid w:val="00CB0785"/>
    <w:pPr>
      <w:pBdr>
        <w:bottom w:val="single" w:sz="6" w:space="1" w:color="auto"/>
      </w:pBdr>
      <w:jc w:val="center"/>
    </w:pPr>
    <w:rPr>
      <w:rFonts w:ascii="Arial" w:eastAsia="Times New Roman" w:hAnsi="Arial" w:cs="Arial"/>
      <w:vanish/>
      <w:kern w:val="0"/>
      <w:sz w:val="16"/>
      <w:szCs w:val="16"/>
      <w:lang w:eastAsia="es-ES_tradnl"/>
      <w14:ligatures w14:val="none"/>
    </w:rPr>
  </w:style>
  <w:style w:type="character" w:customStyle="1" w:styleId="z-PrincipiodelformularioCar">
    <w:name w:val="z-Principio del formulario Car"/>
    <w:basedOn w:val="Fuentedeprrafopredeter"/>
    <w:link w:val="z-Principiodelformulario"/>
    <w:uiPriority w:val="99"/>
    <w:semiHidden/>
    <w:rsid w:val="00CB0785"/>
    <w:rPr>
      <w:rFonts w:ascii="Arial" w:eastAsia="Times New Roman" w:hAnsi="Arial" w:cs="Arial"/>
      <w:vanish/>
      <w:kern w:val="0"/>
      <w:sz w:val="16"/>
      <w:szCs w:val="16"/>
      <w:lang w:eastAsia="es-ES_tradnl"/>
      <w14:ligatures w14:val="none"/>
    </w:rPr>
  </w:style>
  <w:style w:type="paragraph" w:customStyle="1" w:styleId="placeholder">
    <w:name w:val="placeholder"/>
    <w:basedOn w:val="Normal"/>
    <w:rsid w:val="00CB0785"/>
    <w:pPr>
      <w:spacing w:before="100" w:beforeAutospacing="1" w:after="100" w:afterAutospacing="1"/>
    </w:pPr>
    <w:rPr>
      <w:rFonts w:ascii="Times New Roman" w:eastAsia="Times New Roman" w:hAnsi="Times New Roman" w:cs="Times New Roman"/>
      <w:kern w:val="0"/>
      <w:lang w:eastAsia="es-ES_tradnl"/>
      <w14:ligatures w14:val="none"/>
    </w:rPr>
  </w:style>
  <w:style w:type="paragraph" w:styleId="z-Finaldelformulario">
    <w:name w:val="HTML Bottom of Form"/>
    <w:basedOn w:val="Normal"/>
    <w:next w:val="Normal"/>
    <w:link w:val="z-FinaldelformularioCar"/>
    <w:hidden/>
    <w:uiPriority w:val="99"/>
    <w:semiHidden/>
    <w:unhideWhenUsed/>
    <w:rsid w:val="00CB0785"/>
    <w:pPr>
      <w:pBdr>
        <w:top w:val="single" w:sz="6" w:space="1" w:color="auto"/>
      </w:pBdr>
      <w:jc w:val="center"/>
    </w:pPr>
    <w:rPr>
      <w:rFonts w:ascii="Arial" w:eastAsia="Times New Roman" w:hAnsi="Arial" w:cs="Arial"/>
      <w:vanish/>
      <w:kern w:val="0"/>
      <w:sz w:val="16"/>
      <w:szCs w:val="16"/>
      <w:lang w:eastAsia="es-ES_tradnl"/>
      <w14:ligatures w14:val="none"/>
    </w:rPr>
  </w:style>
  <w:style w:type="character" w:customStyle="1" w:styleId="z-FinaldelformularioCar">
    <w:name w:val="z-Final del formulario Car"/>
    <w:basedOn w:val="Fuentedeprrafopredeter"/>
    <w:link w:val="z-Finaldelformulario"/>
    <w:uiPriority w:val="99"/>
    <w:semiHidden/>
    <w:rsid w:val="00CB0785"/>
    <w:rPr>
      <w:rFonts w:ascii="Arial" w:eastAsia="Times New Roman" w:hAnsi="Arial" w:cs="Arial"/>
      <w:vanish/>
      <w:kern w:val="0"/>
      <w:sz w:val="16"/>
      <w:szCs w:val="16"/>
      <w:lang w:eastAsia="es-ES_tradnl"/>
      <w14:ligatures w14:val="none"/>
    </w:rPr>
  </w:style>
  <w:style w:type="character" w:styleId="Nmerodepgina">
    <w:name w:val="page number"/>
    <w:basedOn w:val="Fuentedeprrafopredeter"/>
    <w:uiPriority w:val="99"/>
    <w:semiHidden/>
    <w:unhideWhenUsed/>
    <w:rsid w:val="00F12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lidia.suarez@unir.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13234-0040-974E-BA02-55F43492E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6119</Words>
  <Characters>33655</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Lidia Suárez Espino</dc:creator>
  <cp:keywords/>
  <dc:description/>
  <cp:lastModifiedBy>María Lidia Suárez Espino</cp:lastModifiedBy>
  <cp:revision>7</cp:revision>
  <dcterms:created xsi:type="dcterms:W3CDTF">2026-02-10T12:18:00Z</dcterms:created>
  <dcterms:modified xsi:type="dcterms:W3CDTF">2026-02-12T09:41:00Z</dcterms:modified>
</cp:coreProperties>
</file>